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819"/>
          <w:tab w:val="right" w:pos="9638"/>
        </w:tabs>
        <w:jc w:val="right"/>
        <w:rPr>
          <w:rFonts w:ascii="Arial" w:cs="Arial" w:eastAsia="Arial" w:hAnsi="Arial"/>
          <w:i w:val="1"/>
          <w:color w:val="000000"/>
          <w:sz w:val="18"/>
          <w:szCs w:val="18"/>
          <w:u w:val="single"/>
        </w:rPr>
      </w:pPr>
      <w:r w:rsidDel="00000000" w:rsidR="00000000" w:rsidRPr="00000000">
        <w:rPr>
          <w:rFonts w:ascii="Arial" w:cs="Arial" w:eastAsia="Arial" w:hAnsi="Arial"/>
          <w:b w:val="1"/>
          <w:u w:val="single"/>
          <w:rtl w:val="0"/>
        </w:rPr>
        <w:t xml:space="preserve">Modulo B1</w:t>
      </w:r>
      <w:r w:rsidDel="00000000" w:rsidR="00000000" w:rsidRPr="00000000">
        <w:rPr>
          <w:rtl w:val="0"/>
        </w:rPr>
      </w:r>
    </w:p>
    <w:p w:rsidR="00000000" w:rsidDel="00000000" w:rsidP="00000000" w:rsidRDefault="00000000" w:rsidRPr="00000000" w14:paraId="00000002">
      <w:pPr>
        <w:spacing w:after="0" w:lineRule="auto"/>
        <w:rPr>
          <w:b w:val="1"/>
        </w:rPr>
      </w:pPr>
      <w:r w:rsidDel="00000000" w:rsidR="00000000" w:rsidRPr="00000000">
        <w:rPr>
          <w:rtl w:val="0"/>
        </w:rPr>
      </w:r>
    </w:p>
    <w:p w:rsidR="00000000" w:rsidDel="00000000" w:rsidP="00000000" w:rsidRDefault="00000000" w:rsidRPr="00000000" w14:paraId="00000003">
      <w:pPr>
        <w:spacing w:after="0" w:line="259" w:lineRule="auto"/>
        <w:jc w:val="center"/>
        <w:rPr>
          <w:rFonts w:ascii="Arial" w:cs="Arial" w:eastAsia="Arial" w:hAnsi="Arial"/>
          <w:b w:val="1"/>
        </w:rPr>
      </w:pPr>
      <w:r w:rsidDel="00000000" w:rsidR="00000000" w:rsidRPr="00000000">
        <w:rPr>
          <w:rFonts w:ascii="Arial" w:cs="Arial" w:eastAsia="Arial" w:hAnsi="Arial"/>
          <w:b w:val="1"/>
          <w:rtl w:val="0"/>
        </w:rPr>
        <w:t xml:space="preserve">Relazione finanziaria</w:t>
      </w:r>
    </w:p>
    <w:p w:rsidR="00000000" w:rsidDel="00000000" w:rsidP="00000000" w:rsidRDefault="00000000" w:rsidRPr="00000000" w14:paraId="00000004">
      <w:pPr>
        <w:tabs>
          <w:tab w:val="center" w:pos="4819"/>
          <w:tab w:val="right" w:pos="9638"/>
        </w:tabs>
        <w:spacing w:after="0" w:line="240" w:lineRule="auto"/>
        <w:jc w:val="center"/>
        <w:rPr>
          <w:rFonts w:ascii="Arial" w:cs="Arial" w:eastAsia="Arial" w:hAnsi="Arial"/>
          <w:b w:val="1"/>
        </w:rPr>
      </w:pPr>
      <w:r w:rsidDel="00000000" w:rsidR="00000000" w:rsidRPr="00000000">
        <w:rPr>
          <w:rFonts w:ascii="Arial" w:cs="Arial" w:eastAsia="Arial" w:hAnsi="Arial"/>
          <w:i w:val="1"/>
          <w:rtl w:val="0"/>
        </w:rPr>
        <w:t xml:space="preserve">Avviso 1/2022 per la presentazione di istanze di accesso al Fondo per il sostegno e lo sviluppo dei Comitati territoriali</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b w:val="1"/>
          <w:color w:val="000000"/>
        </w:rPr>
      </w:pPr>
      <w:r w:rsidDel="00000000" w:rsidR="00000000" w:rsidRPr="00000000">
        <w:rPr>
          <w:rFonts w:ascii="Arial" w:cs="Arial" w:eastAsia="Arial" w:hAnsi="Arial"/>
          <w:b w:val="1"/>
          <w:rtl w:val="0"/>
        </w:rPr>
        <w:t xml:space="preserve">Anagrafica del Comitato </w:t>
      </w:r>
      <w:r w:rsidDel="00000000" w:rsidR="00000000" w:rsidRPr="00000000">
        <w:rPr>
          <w:rtl w:val="0"/>
        </w:rPr>
      </w:r>
    </w:p>
    <w:tbl>
      <w:tblPr>
        <w:tblStyle w:val="Table1"/>
        <w:tblW w:w="955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4770"/>
        <w:tblGridChange w:id="0">
          <w:tblGrid>
            <w:gridCol w:w="4785"/>
            <w:gridCol w:w="47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rtl w:val="0"/>
              </w:rPr>
              <w:t xml:space="preserve">Comitato CRI proponente: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rtl w:val="0"/>
              </w:rPr>
              <w:t xml:space="preserve">Nome Referente se diverso dal Presidente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rtl w:val="0"/>
              </w:rPr>
              <w:t xml:space="preserve">Indirizzo e-mail di riferimento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rtl w:val="0"/>
              </w:rPr>
              <w:t xml:space="preserve">Contatto telefonico del referente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rtl w:val="0"/>
              </w:rPr>
              <w:t xml:space="preserve">Coordinate bancarie del Comitato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1"/>
        <w:keepLines w:val="1"/>
        <w:numPr>
          <w:ilvl w:val="0"/>
          <w:numId w:val="1"/>
        </w:numPr>
        <w:pBdr>
          <w:top w:space="0" w:sz="0" w:val="nil"/>
          <w:left w:space="0" w:sz="0" w:val="nil"/>
          <w:bottom w:space="0" w:sz="0" w:val="nil"/>
          <w:right w:space="0" w:sz="0" w:val="nil"/>
          <w:between w:space="0" w:sz="0" w:val="nil"/>
        </w:pBdr>
        <w:spacing w:after="0" w:before="280" w:line="240" w:lineRule="auto"/>
        <w:ind w:left="720" w:hanging="360"/>
        <w:jc w:val="both"/>
        <w:rPr>
          <w:rFonts w:ascii="Arial" w:cs="Arial" w:eastAsia="Arial" w:hAnsi="Arial"/>
          <w:b w:val="1"/>
          <w:color w:val="000000"/>
        </w:rPr>
      </w:pPr>
      <w:bookmarkStart w:colFirst="0" w:colLast="0" w:name="_heading=h.y87teiu6tc4q" w:id="0"/>
      <w:bookmarkEnd w:id="0"/>
      <w:r w:rsidDel="00000000" w:rsidR="00000000" w:rsidRPr="00000000">
        <w:rPr>
          <w:rFonts w:ascii="Arial" w:cs="Arial" w:eastAsia="Arial" w:hAnsi="Arial"/>
          <w:b w:val="1"/>
          <w:color w:val="000000"/>
          <w:rtl w:val="0"/>
        </w:rPr>
        <w:t xml:space="preserve">Ambito di intervento</w:t>
      </w:r>
    </w:p>
    <w:tbl>
      <w:tblPr>
        <w:tblStyle w:val="Table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Descrivere le cause della crisi di liquidità e quali misure di intervento si intendono adottare per risanare l’equilibrio economico-finanziario del Comitato, in particolare specificando l’utilizzo del finanziamento richiesto.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6">
      <w:pPr>
        <w:keepNext w:val="1"/>
        <w:keepLines w:val="1"/>
        <w:numPr>
          <w:ilvl w:val="0"/>
          <w:numId w:val="1"/>
        </w:numPr>
        <w:pBdr>
          <w:top w:space="0" w:sz="0" w:val="nil"/>
          <w:left w:space="0" w:sz="0" w:val="nil"/>
          <w:bottom w:space="0" w:sz="0" w:val="nil"/>
          <w:right w:space="0" w:sz="0" w:val="nil"/>
          <w:between w:space="0" w:sz="0" w:val="nil"/>
        </w:pBdr>
        <w:spacing w:after="0" w:before="280" w:line="240" w:lineRule="auto"/>
        <w:ind w:left="720" w:hanging="360"/>
        <w:jc w:val="both"/>
        <w:rPr>
          <w:rFonts w:ascii="Arial" w:cs="Arial" w:eastAsia="Arial" w:hAnsi="Arial"/>
          <w:b w:val="1"/>
          <w:color w:val="000000"/>
        </w:rPr>
      </w:pPr>
      <w:bookmarkStart w:colFirst="0" w:colLast="0" w:name="_heading=h.s06hgv1486vk" w:id="1"/>
      <w:bookmarkEnd w:id="1"/>
      <w:r w:rsidDel="00000000" w:rsidR="00000000" w:rsidRPr="00000000">
        <w:rPr>
          <w:rFonts w:ascii="Arial" w:cs="Arial" w:eastAsia="Arial" w:hAnsi="Arial"/>
          <w:b w:val="1"/>
          <w:color w:val="000000"/>
          <w:rtl w:val="0"/>
        </w:rPr>
        <w:t xml:space="preserve">Urgenza </w:t>
      </w:r>
    </w:p>
    <w:tbl>
      <w:tblPr>
        <w:tblStyle w:val="Table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i w:val="1"/>
              </w:rPr>
            </w:pPr>
            <w:r w:rsidDel="00000000" w:rsidR="00000000" w:rsidRPr="00000000">
              <w:rPr>
                <w:rFonts w:ascii="Arial" w:cs="Arial" w:eastAsia="Arial" w:hAnsi="Arial"/>
                <w:i w:val="1"/>
                <w:rtl w:val="0"/>
              </w:rPr>
              <w:t xml:space="preserve">Definire il livello di urgenza delle misure individuate, in relazione alle scadenze previste e agli effetti della mancata attuazione dell'intervento sulla continuità economica del Comitato.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keepNext w:val="1"/>
        <w:keepLines w:val="1"/>
        <w:numPr>
          <w:ilvl w:val="0"/>
          <w:numId w:val="1"/>
        </w:numPr>
        <w:pBdr>
          <w:top w:space="0" w:sz="0" w:val="nil"/>
          <w:left w:space="0" w:sz="0" w:val="nil"/>
          <w:bottom w:space="0" w:sz="0" w:val="nil"/>
          <w:right w:space="0" w:sz="0" w:val="nil"/>
          <w:between w:space="0" w:sz="0" w:val="nil"/>
        </w:pBdr>
        <w:spacing w:after="0" w:before="280" w:line="24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Continuità economica</w:t>
      </w:r>
    </w:p>
    <w:tbl>
      <w:tblPr>
        <w:tblStyle w:val="Table4"/>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Descrivere le attività principali del Comitato, la natura dei ricavi strutturali e la loro prospettiva di continuità, ai fini di una valutazione prospettica della capacità di generare risorse funzionali alla propria sussistenza per una durata superiore al periodo del finanziamento, tenuto anche conto di piani di sviluppo futuro, incertezze identificate e possibili esiti di queste ultime.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keepNext w:val="1"/>
        <w:keepLines w:val="1"/>
        <w:numPr>
          <w:ilvl w:val="0"/>
          <w:numId w:val="1"/>
        </w:numPr>
        <w:spacing w:after="0" w:before="280" w:line="240" w:lineRule="auto"/>
        <w:ind w:left="720" w:hanging="360"/>
        <w:jc w:val="both"/>
        <w:rPr>
          <w:rFonts w:ascii="Arial" w:cs="Arial" w:eastAsia="Arial" w:hAnsi="Arial"/>
          <w:b w:val="1"/>
        </w:rPr>
      </w:pPr>
      <w:bookmarkStart w:colFirst="0" w:colLast="0" w:name="_heading=h.sev7vfk968zs" w:id="2"/>
      <w:bookmarkEnd w:id="2"/>
      <w:r w:rsidDel="00000000" w:rsidR="00000000" w:rsidRPr="00000000">
        <w:rPr>
          <w:rFonts w:ascii="Arial" w:cs="Arial" w:eastAsia="Arial" w:hAnsi="Arial"/>
          <w:b w:val="1"/>
          <w:rtl w:val="0"/>
        </w:rPr>
        <w:t xml:space="preserve">Previsioni quadriennio 2023-2026</w:t>
      </w:r>
      <w:r w:rsidDel="00000000" w:rsidR="00000000" w:rsidRPr="00000000">
        <w:rPr>
          <w:rtl w:val="0"/>
        </w:rPr>
      </w:r>
    </w:p>
    <w:tbl>
      <w:tblPr>
        <w:tblStyle w:val="Table5"/>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Riportare le previsioni di costo e di ricavo per il quadriennio 2023-2026 sulla base delle informazioni disponibili e degli elementi rappresentati al punto precedente.</w:t>
            </w:r>
          </w:p>
        </w:tc>
      </w:tr>
    </w:tbl>
    <w:p w:rsidR="00000000" w:rsidDel="00000000" w:rsidP="00000000" w:rsidRDefault="00000000" w:rsidRPr="00000000" w14:paraId="00000020">
      <w:pPr>
        <w:rPr>
          <w:rFonts w:ascii="Arial" w:cs="Arial" w:eastAsia="Arial" w:hAnsi="Arial"/>
        </w:rPr>
      </w:pPr>
      <w:r w:rsidDel="00000000" w:rsidR="00000000" w:rsidRPr="00000000">
        <w:rPr>
          <w:rtl w:val="0"/>
        </w:rPr>
      </w:r>
    </w:p>
    <w:tbl>
      <w:tblPr>
        <w:tblStyle w:val="Table6"/>
        <w:tblW w:w="9550.0" w:type="dxa"/>
        <w:jc w:val="left"/>
        <w:tblLayout w:type="fixed"/>
        <w:tblLook w:val="0400"/>
      </w:tblPr>
      <w:tblGrid>
        <w:gridCol w:w="296"/>
        <w:gridCol w:w="2297"/>
        <w:gridCol w:w="520"/>
        <w:gridCol w:w="520"/>
        <w:gridCol w:w="520"/>
        <w:gridCol w:w="520"/>
        <w:gridCol w:w="378"/>
        <w:gridCol w:w="390"/>
        <w:gridCol w:w="2029"/>
        <w:gridCol w:w="520"/>
        <w:gridCol w:w="520"/>
        <w:gridCol w:w="520"/>
        <w:gridCol w:w="520"/>
        <w:tblGridChange w:id="0">
          <w:tblGrid>
            <w:gridCol w:w="296"/>
            <w:gridCol w:w="2297"/>
            <w:gridCol w:w="520"/>
            <w:gridCol w:w="520"/>
            <w:gridCol w:w="520"/>
            <w:gridCol w:w="520"/>
            <w:gridCol w:w="378"/>
            <w:gridCol w:w="390"/>
            <w:gridCol w:w="2029"/>
            <w:gridCol w:w="520"/>
            <w:gridCol w:w="520"/>
            <w:gridCol w:w="520"/>
            <w:gridCol w:w="520"/>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1">
            <w:pPr>
              <w:spacing w:after="0" w:line="240" w:lineRule="auto"/>
              <w:rPr>
                <w:rFonts w:ascii="Arial" w:cs="Arial" w:eastAsia="Arial" w:hAnsi="Arial"/>
                <w:sz w:val="14"/>
                <w:szCs w:val="14"/>
              </w:rPr>
            </w:pPr>
            <w:bookmarkStart w:colFirst="0" w:colLast="0" w:name="_heading=h.30j0zll" w:id="3"/>
            <w:bookmarkEnd w:id="3"/>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2">
            <w:pPr>
              <w:spacing w:after="0" w:line="240" w:lineRule="auto"/>
              <w:jc w:val="center"/>
              <w:rPr>
                <w:rFonts w:ascii="Arial" w:cs="Arial" w:eastAsia="Arial" w:hAnsi="Arial"/>
                <w:sz w:val="14"/>
                <w:szCs w:val="14"/>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23">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2023</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24">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2024</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25">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2025</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26">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2026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7">
            <w:pPr>
              <w:spacing w:after="0" w:line="240" w:lineRule="auto"/>
              <w:jc w:val="center"/>
              <w:rPr>
                <w:rFonts w:ascii="Arial" w:cs="Arial" w:eastAsia="Arial" w:hAnsi="Arial"/>
                <w:b w:val="1"/>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8">
            <w:pPr>
              <w:spacing w:after="0" w:line="240" w:lineRule="auto"/>
              <w:jc w:val="center"/>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9">
            <w:pPr>
              <w:spacing w:after="0" w:line="240" w:lineRule="auto"/>
              <w:jc w:val="center"/>
              <w:rPr>
                <w:rFonts w:ascii="Arial" w:cs="Arial" w:eastAsia="Arial" w:hAnsi="Arial"/>
                <w:sz w:val="14"/>
                <w:szCs w:val="14"/>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2A">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2023</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2B">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2024</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2C">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2025</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2D">
            <w:pPr>
              <w:spacing w:after="0" w:line="24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2026</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2E">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2F">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ONERI E COSTI</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0">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1">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2">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3">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4">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5">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6">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PROVENTI E RICAVI</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7">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8">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9">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A">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r>
      <w:tr>
        <w:trPr>
          <w:cantSplit w:val="0"/>
          <w:trHeight w:val="388" w:hRule="atLeast"/>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B">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C">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COSTI E ONERI DA ATTIVITA' DI INTERESSE GENERALE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D">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E">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3F">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40">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41">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42">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43">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RICAVI, RENDITE E PROVENTI DA ATTIVITÀ DI INTERESSE GENERALE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44">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45">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46">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47">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r>
      <w:tr>
        <w:trPr>
          <w:cantSplit w:val="0"/>
          <w:trHeight w:val="388" w:hRule="atLeast"/>
          <w:tblHeader w:val="0"/>
        </w:trPr>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04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4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4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4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4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4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4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4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5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quote associative e apporti dei fondatori</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5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5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5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05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388"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5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materie prime, sussidiarie, di consumo e di merci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7">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8">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dagli associati per attività mutuali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5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388"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6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servizi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Ricavi per prestazioni e cessioni ad associati e fondatori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6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6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Erogazioni liberali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7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godimento di beni di terzi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7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del 5 per mille</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8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il personale</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8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Contributi da soggetti privati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9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Ricavi per prestazioni e cessioni a terzi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9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A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Ammortamenti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8)</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Contributi da enti pubblici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A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B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Accantonamenti per rischi ed oneri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9)</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contratti con enti pubblici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B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Oneri diversi di gestione</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B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10)</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Altri ricavi, rendite e proventi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C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8)</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Rimanenze iniziali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C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11)</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Rimanenze finali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D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8">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DF">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388" w:hRule="atLeast"/>
          <w:tblHeader w:val="0"/>
        </w:trPr>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0E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C">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Avanzo/disavanzo attività di interesse generale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E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0F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1">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2">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3">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4">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5">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6">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7">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8">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9">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A">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B">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C">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D">
            <w:pPr>
              <w:spacing w:after="0" w:line="240" w:lineRule="auto"/>
              <w:rPr>
                <w:rFonts w:ascii="Arial" w:cs="Arial" w:eastAsia="Arial" w:hAnsi="Arial"/>
                <w:sz w:val="14"/>
                <w:szCs w:val="14"/>
              </w:rPr>
            </w:pPr>
            <w:r w:rsidDel="00000000" w:rsidR="00000000" w:rsidRPr="00000000">
              <w:rPr>
                <w:rtl w:val="0"/>
              </w:rPr>
            </w:r>
          </w:p>
        </w:tc>
      </w:tr>
      <w:tr>
        <w:trPr>
          <w:cantSplit w:val="0"/>
          <w:trHeight w:val="388" w:hRule="atLeast"/>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FE">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B</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FF">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COSTI E ONERI DA ATTIVITA' DIVERSE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0">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1">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2">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3">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4">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5">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B</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6">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RICAVI, RENDITE E PROVENTI DA ATTIVITA' DIVERSE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7">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8">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9">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0A">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r>
      <w:tr>
        <w:trPr>
          <w:cantSplit w:val="0"/>
          <w:trHeight w:val="388"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0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10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materie prime, sussidiarie, di consumo e di merci</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0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0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0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1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1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1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1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Ricavi per prestazioni e cessioni ad associati e fondatori</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1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1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1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1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1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servizi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1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1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1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1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1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1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Contributi da soggetti privati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2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godimento di beni di terzi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Ricavi per prestazioni e cessioni a terzi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2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3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3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il personale</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Contributi da enti pubblici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3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3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4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Ammortamenti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contratti con enti pubblici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4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4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Accantonamenti per rischi ed oneri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4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Altri ricavi, rendite e proventi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5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Oneri diversi di gestione</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5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Rimanenze finali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6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8)</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6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Rimanenze iniziali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6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3">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74">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B">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7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0">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8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8">
            <w:pPr>
              <w:spacing w:after="0" w:line="240" w:lineRule="auto"/>
              <w:jc w:val="right"/>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Avanzo/disavanzo attività diverse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8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D">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E">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F">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0">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1">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2">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3">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4">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5">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6">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7">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8">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9">
            <w:pPr>
              <w:spacing w:after="0" w:line="240" w:lineRule="auto"/>
              <w:rPr>
                <w:rFonts w:ascii="Arial" w:cs="Arial" w:eastAsia="Arial" w:hAnsi="Arial"/>
                <w:sz w:val="14"/>
                <w:szCs w:val="14"/>
              </w:rPr>
            </w:pPr>
            <w:r w:rsidDel="00000000" w:rsidR="00000000" w:rsidRPr="00000000">
              <w:rPr>
                <w:rtl w:val="0"/>
              </w:rPr>
            </w:r>
          </w:p>
        </w:tc>
      </w:tr>
      <w:tr>
        <w:trPr>
          <w:cantSplit w:val="0"/>
          <w:trHeight w:val="388" w:hRule="atLeast"/>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9A">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9B">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COSTI E ONERI DA ATTIVITA' DI RACCOLTA FONDI</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9C">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9D">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9E">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9F">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A0">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A1">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A2">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RICAVI, RENDITE E PROVENTI DA ATTIVITA' DI RACCOLTA FONDI</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A3">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A4">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A5">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A6">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A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1A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Oneri per raccolte fondi abituali</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A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A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A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A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A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A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A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raccolte fondi abituali</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B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B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B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1B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B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Oneri per raccolte fondi occasionali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raccolte fondi occasionali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B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C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C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Altri oneri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Altri proventi da attività di raccolta fondi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C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CE">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CF">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6">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388"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B">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1D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D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E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E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E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E3">
            <w:pPr>
              <w:spacing w:after="0" w:line="240" w:lineRule="auto"/>
              <w:jc w:val="right"/>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Avanzo/disavanzo attività di raccolta fondi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E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E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E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1E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8">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9">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A">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B">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C">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D">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E">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EF">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0">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1">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2">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3">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4">
            <w:pPr>
              <w:spacing w:after="0" w:line="240" w:lineRule="auto"/>
              <w:rPr>
                <w:rFonts w:ascii="Arial" w:cs="Arial" w:eastAsia="Arial" w:hAnsi="Arial"/>
                <w:sz w:val="14"/>
                <w:szCs w:val="14"/>
              </w:rPr>
            </w:pPr>
            <w:r w:rsidDel="00000000" w:rsidR="00000000" w:rsidRPr="00000000">
              <w:rPr>
                <w:rtl w:val="0"/>
              </w:rPr>
            </w:r>
          </w:p>
        </w:tc>
      </w:tr>
      <w:tr>
        <w:trPr>
          <w:cantSplit w:val="0"/>
          <w:trHeight w:val="388" w:hRule="atLeast"/>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5">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D</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6">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COSTI E ONERI DA ATTIVITA' FINANZIARIE E PATRIMONIALI</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7">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8">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9">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A">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B">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C">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D</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D">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RICAVI, RENDITE E PROVENTI DA ATTIVITA' FINANZIARIE E PATRIMONIALI</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E">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1FF">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00">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01">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0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20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Oneri su rapporti bancari</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rapporti bancari</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0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0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1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Oneri su prestiti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altri investimenti finanziari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1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1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Oneri da patrimonio edilizio</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1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patrimonio edilizio</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2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2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Oneri da altri beni patrimoniali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2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altri beni patrimoniali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3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3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Accantonamenti per rischi ed oneri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3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4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4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Altri oneri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Altri proventi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4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50">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51">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8">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388"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5D">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5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5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5">
            <w:pPr>
              <w:spacing w:after="0" w:line="240" w:lineRule="auto"/>
              <w:jc w:val="right"/>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Avanzo/disavanzo attività finanziarie e patrimoniali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6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A">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B">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C">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D">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E">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F">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70">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71">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72">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73">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74">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75">
            <w:pPr>
              <w:spacing w:after="0" w:line="240" w:lineRule="auto"/>
              <w:rPr>
                <w:rFonts w:ascii="Arial" w:cs="Arial" w:eastAsia="Arial" w:hAnsi="Arial"/>
                <w:sz w:val="14"/>
                <w:szCs w:val="1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76">
            <w:pPr>
              <w:spacing w:after="0" w:line="240" w:lineRule="auto"/>
              <w:rPr>
                <w:rFonts w:ascii="Arial" w:cs="Arial" w:eastAsia="Arial" w:hAnsi="Arial"/>
                <w:sz w:val="14"/>
                <w:szCs w:val="14"/>
              </w:rPr>
            </w:pP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7">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8">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COSTI E ONERI DI SUPPORTO GENERALE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9">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A">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B">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C">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D">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E">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7F">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PROVENTI DI SUPPORTO GENERALE</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80">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81">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82">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283">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r>
      <w:tr>
        <w:trPr>
          <w:cantSplit w:val="0"/>
          <w:trHeight w:val="388"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8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Pr>
          <w:p w:rsidR="00000000" w:rsidDel="00000000" w:rsidP="00000000" w:rsidRDefault="00000000" w:rsidRPr="00000000" w14:paraId="0000028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materie prime, sussidiarie, di consumo e di merci</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Proventi da distacco del personale</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8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d9d9d9" w:space="0" w:sz="4" w:val="single"/>
              <w:left w:color="000000" w:space="0" w:sz="0" w:val="nil"/>
              <w:bottom w:color="d9d9d9" w:space="0" w:sz="4" w:val="single"/>
              <w:right w:color="d9d9d9" w:space="0" w:sz="4" w:val="single"/>
            </w:tcBorders>
            <w:shd w:fill="auto" w:val="clear"/>
          </w:tcPr>
          <w:p w:rsidR="00000000" w:rsidDel="00000000" w:rsidP="00000000" w:rsidRDefault="00000000" w:rsidRPr="00000000" w14:paraId="0000029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9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9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servizi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Altri proventi di supporto generale</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9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9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9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godimento di beni di terzi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A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A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Costi per il personale</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A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B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5)</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B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Ammortamenti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B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6)</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C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Accantonamenti per rischi ed oneri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C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7)</w:t>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D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Altri oneri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7">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D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F">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E0">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6">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7">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Totali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8">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C">
            <w:pPr>
              <w:spacing w:after="0" w:line="240" w:lineRule="auto"/>
              <w:rPr>
                <w:rFonts w:ascii="Arial" w:cs="Arial" w:eastAsia="Arial" w:hAnsi="Arial"/>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ED">
            <w:pPr>
              <w:spacing w:after="0" w:line="240" w:lineRule="auto"/>
              <w:jc w:val="right"/>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TOTALE ONERI E COSTI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E">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EF">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0">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1">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2">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3">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4">
            <w:pPr>
              <w:spacing w:after="0" w:line="240" w:lineRule="auto"/>
              <w:jc w:val="right"/>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TOTALE PROVENTI E RICAVI</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5">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6">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7">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8">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 </w:t>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9">
            <w:pPr>
              <w:spacing w:after="0" w:line="240" w:lineRule="auto"/>
              <w:rPr>
                <w:rFonts w:ascii="Arial" w:cs="Arial" w:eastAsia="Arial" w:hAnsi="Arial"/>
                <w:b w:val="1"/>
                <w:color w:val="000000"/>
                <w:sz w:val="14"/>
                <w:szCs w:val="14"/>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auto" w:val="clear"/>
          </w:tcPr>
          <w:p w:rsidR="00000000" w:rsidDel="00000000" w:rsidP="00000000" w:rsidRDefault="00000000" w:rsidRPr="00000000" w14:paraId="000002FA">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B">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C">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E">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2FF">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300">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301">
            <w:pPr>
              <w:spacing w:after="0" w:line="240" w:lineRule="auto"/>
              <w:jc w:val="right"/>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Avanzo/disavanzo d'esercizio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302">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303">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304">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c>
          <w:tcPr>
            <w:tcBorders>
              <w:top w:color="000000" w:space="0" w:sz="0" w:val="nil"/>
              <w:left w:color="000000" w:space="0" w:sz="0" w:val="nil"/>
              <w:bottom w:color="d9d9d9" w:space="0" w:sz="4" w:val="single"/>
              <w:right w:color="d9d9d9" w:space="0" w:sz="4" w:val="single"/>
            </w:tcBorders>
            <w:shd w:fill="auto" w:val="clear"/>
          </w:tcPr>
          <w:p w:rsidR="00000000" w:rsidDel="00000000" w:rsidP="00000000" w:rsidRDefault="00000000" w:rsidRPr="00000000" w14:paraId="0000030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bl>
    <w:p w:rsidR="00000000" w:rsidDel="00000000" w:rsidP="00000000" w:rsidRDefault="00000000" w:rsidRPr="00000000" w14:paraId="00000306">
      <w:pPr>
        <w:rPr>
          <w:rFonts w:ascii="Arial" w:cs="Arial" w:eastAsia="Arial" w:hAnsi="Arial"/>
        </w:rPr>
      </w:pPr>
      <w:r w:rsidDel="00000000" w:rsidR="00000000" w:rsidRPr="00000000">
        <w:rPr>
          <w:rtl w:val="0"/>
        </w:rPr>
      </w:r>
    </w:p>
    <w:p w:rsidR="00000000" w:rsidDel="00000000" w:rsidP="00000000" w:rsidRDefault="00000000" w:rsidRPr="00000000" w14:paraId="00000307">
      <w:pPr>
        <w:keepNext w:val="1"/>
        <w:keepLines w:val="1"/>
        <w:numPr>
          <w:ilvl w:val="0"/>
          <w:numId w:val="1"/>
        </w:numPr>
        <w:pBdr>
          <w:top w:space="0" w:sz="0" w:val="nil"/>
          <w:left w:space="0" w:sz="0" w:val="nil"/>
          <w:bottom w:space="0" w:sz="0" w:val="nil"/>
          <w:right w:space="0" w:sz="0" w:val="nil"/>
          <w:between w:space="0" w:sz="0" w:val="nil"/>
        </w:pBdr>
        <w:spacing w:after="0" w:before="280" w:line="240" w:lineRule="auto"/>
        <w:ind w:left="720" w:hanging="360"/>
        <w:jc w:val="both"/>
        <w:rPr>
          <w:rFonts w:ascii="Arial" w:cs="Arial" w:eastAsia="Arial" w:hAnsi="Arial"/>
          <w:b w:val="1"/>
          <w:color w:val="000000"/>
        </w:rPr>
      </w:pPr>
      <w:bookmarkStart w:colFirst="0" w:colLast="0" w:name="_heading=h.pp26c67bhqp0" w:id="4"/>
      <w:bookmarkEnd w:id="4"/>
      <w:r w:rsidDel="00000000" w:rsidR="00000000" w:rsidRPr="00000000">
        <w:rPr>
          <w:rFonts w:ascii="Arial" w:cs="Arial" w:eastAsia="Arial" w:hAnsi="Arial"/>
          <w:b w:val="1"/>
          <w:color w:val="000000"/>
          <w:rtl w:val="0"/>
        </w:rPr>
        <w:t xml:space="preserve">Analisi della liquidità</w:t>
      </w:r>
      <w:r w:rsidDel="00000000" w:rsidR="00000000" w:rsidRPr="00000000">
        <w:rPr>
          <w:rFonts w:ascii="Arial" w:cs="Arial" w:eastAsia="Arial" w:hAnsi="Arial"/>
          <w:b w:val="1"/>
          <w:rtl w:val="0"/>
        </w:rPr>
        <w:t xml:space="preserve"> </w:t>
      </w:r>
      <w:r w:rsidDel="00000000" w:rsidR="00000000" w:rsidRPr="00000000">
        <w:rPr>
          <w:rtl w:val="0"/>
        </w:rPr>
      </w:r>
    </w:p>
    <w:tbl>
      <w:tblPr>
        <w:tblStyle w:val="Table7"/>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i w:val="1"/>
              </w:rPr>
            </w:pPr>
            <w:bookmarkStart w:colFirst="0" w:colLast="0" w:name="_heading=h.gjdgxs" w:id="5"/>
            <w:bookmarkEnd w:id="5"/>
            <w:r w:rsidDel="00000000" w:rsidR="00000000" w:rsidRPr="00000000">
              <w:rPr>
                <w:rFonts w:ascii="Arial" w:cs="Arial" w:eastAsia="Arial" w:hAnsi="Arial"/>
                <w:i w:val="1"/>
                <w:rtl w:val="0"/>
              </w:rPr>
              <w:t xml:space="preserve">Valutazione della capacità del Comitato di far fronte agli impegni finanziari mediante l’utilizzo del parametro X, calcolato sulla base dell'indice ALFA e dell’indice di liquidità come segue:</w:t>
              <w:br w:type="textWrapping"/>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X = ALFA * (1 - I.L.)</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Dove:</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 ALFA è </w:t>
            </w:r>
            <w:r w:rsidDel="00000000" w:rsidR="00000000" w:rsidRPr="00000000">
              <w:rPr>
                <w:rFonts w:ascii="Arial" w:cs="Arial" w:eastAsia="Arial" w:hAnsi="Arial"/>
                <w:b w:val="1"/>
                <w:i w:val="1"/>
                <w:rtl w:val="0"/>
              </w:rPr>
              <w:t xml:space="preserve">l'indice ALFA</w:t>
            </w:r>
            <w:r w:rsidDel="00000000" w:rsidR="00000000" w:rsidRPr="00000000">
              <w:rPr>
                <w:rFonts w:ascii="Arial" w:cs="Arial" w:eastAsia="Arial" w:hAnsi="Arial"/>
                <w:i w:val="1"/>
                <w:rtl w:val="0"/>
              </w:rPr>
              <w:t xml:space="preserve">, dato dal rapporto tra finanziamento richiesto e valore della produzione moltiplicato per 100;</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i w:val="1"/>
              </w:rPr>
            </w:pP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I.L. è</w:t>
            </w:r>
            <w:r w:rsidDel="00000000" w:rsidR="00000000" w:rsidRPr="00000000">
              <w:rPr>
                <w:rFonts w:ascii="Arial" w:cs="Arial" w:eastAsia="Arial" w:hAnsi="Arial"/>
                <w:b w:val="1"/>
                <w:i w:val="1"/>
                <w:rtl w:val="0"/>
              </w:rPr>
              <w:t xml:space="preserve"> l'indice di liquidità</w:t>
            </w:r>
            <w:r w:rsidDel="00000000" w:rsidR="00000000" w:rsidRPr="00000000">
              <w:rPr>
                <w:rFonts w:ascii="Arial" w:cs="Arial" w:eastAsia="Arial" w:hAnsi="Arial"/>
                <w:i w:val="1"/>
                <w:rtl w:val="0"/>
              </w:rPr>
              <w:t xml:space="preserve">, pari al rapporto tra la somma della liquidità immediata e differita (liquidità corrente e crediti finanziari e commerciali a breve) e le passività correnti (debiti finanziari e commerciali a breve).</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Entrambi gli indici sono calcolati sulla base dell'ultimo bilancio di esercizio approvato.</w:t>
            </w:r>
          </w:p>
        </w:tc>
      </w:tr>
      <w:tr>
        <w:trPr>
          <w:cantSplit w:val="0"/>
          <w:trHeight w:val="6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310">
      <w:pPr>
        <w:tabs>
          <w:tab w:val="left" w:pos="372"/>
          <w:tab w:val="center" w:pos="7285"/>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11">
      <w:pPr>
        <w:tabs>
          <w:tab w:val="left" w:pos="384"/>
          <w:tab w:val="center" w:pos="7285"/>
        </w:tabs>
        <w:rPr>
          <w:rFonts w:ascii="Arial" w:cs="Arial" w:eastAsia="Arial" w:hAnsi="Arial"/>
        </w:rPr>
      </w:pPr>
      <w:r w:rsidDel="00000000" w:rsidR="00000000" w:rsidRPr="00000000">
        <w:rPr>
          <w:rtl w:val="0"/>
        </w:rPr>
      </w:r>
    </w:p>
    <w:p w:rsidR="00000000" w:rsidDel="00000000" w:rsidP="00000000" w:rsidRDefault="00000000" w:rsidRPr="00000000" w14:paraId="00000312">
      <w:pPr>
        <w:tabs>
          <w:tab w:val="left" w:pos="384"/>
          <w:tab w:val="center" w:pos="7285"/>
        </w:tabs>
        <w:rPr>
          <w:rFonts w:ascii="Arial" w:cs="Arial" w:eastAsia="Arial" w:hAnsi="Arial"/>
        </w:rPr>
      </w:pPr>
      <w:r w:rsidDel="00000000" w:rsidR="00000000" w:rsidRPr="00000000">
        <w:rPr>
          <w:rFonts w:ascii="Arial" w:cs="Arial" w:eastAsia="Arial" w:hAnsi="Arial"/>
          <w:rtl w:val="0"/>
        </w:rPr>
        <w:t xml:space="preserve">Data __________________</w:t>
      </w:r>
    </w:p>
    <w:p w:rsidR="00000000" w:rsidDel="00000000" w:rsidP="00000000" w:rsidRDefault="00000000" w:rsidRPr="00000000" w14:paraId="00000313">
      <w:pPr>
        <w:tabs>
          <w:tab w:val="left" w:pos="384"/>
          <w:tab w:val="center" w:pos="7285"/>
        </w:tabs>
        <w:rPr>
          <w:rFonts w:ascii="Arial" w:cs="Arial" w:eastAsia="Arial" w:hAnsi="Arial"/>
        </w:rPr>
      </w:pPr>
      <w:r w:rsidDel="00000000" w:rsidR="00000000" w:rsidRPr="00000000">
        <w:rPr>
          <w:rtl w:val="0"/>
        </w:rPr>
      </w:r>
    </w:p>
    <w:p w:rsidR="00000000" w:rsidDel="00000000" w:rsidP="00000000" w:rsidRDefault="00000000" w:rsidRPr="00000000" w14:paraId="00000314">
      <w:pPr>
        <w:tabs>
          <w:tab w:val="left" w:pos="384"/>
          <w:tab w:val="center" w:pos="7285"/>
        </w:tabs>
        <w:ind w:left="5040" w:firstLine="0"/>
        <w:jc w:val="center"/>
        <w:rPr>
          <w:rFonts w:ascii="Arial" w:cs="Arial" w:eastAsia="Arial" w:hAnsi="Arial"/>
        </w:rPr>
      </w:pPr>
      <w:r w:rsidDel="00000000" w:rsidR="00000000" w:rsidRPr="00000000">
        <w:rPr>
          <w:rFonts w:ascii="Arial" w:cs="Arial" w:eastAsia="Arial" w:hAnsi="Arial"/>
          <w:rtl w:val="0"/>
        </w:rPr>
        <w:t xml:space="preserve">Firma del Rappresentante legale</w:t>
      </w:r>
    </w:p>
    <w:p w:rsidR="00000000" w:rsidDel="00000000" w:rsidP="00000000" w:rsidRDefault="00000000" w:rsidRPr="00000000" w14:paraId="00000315">
      <w:pPr>
        <w:tabs>
          <w:tab w:val="left" w:pos="384"/>
          <w:tab w:val="center" w:pos="7285"/>
        </w:tabs>
        <w:ind w:left="5040" w:firstLine="0"/>
        <w:jc w:val="center"/>
        <w:rPr>
          <w:rFonts w:ascii="Arial" w:cs="Arial" w:eastAsia="Arial" w:hAnsi="Arial"/>
        </w:rPr>
      </w:pPr>
      <w:r w:rsidDel="00000000" w:rsidR="00000000" w:rsidRPr="00000000">
        <w:rPr>
          <w:rFonts w:ascii="Arial" w:cs="Arial" w:eastAsia="Arial" w:hAnsi="Arial"/>
          <w:rtl w:val="0"/>
        </w:rPr>
        <w:t xml:space="preserve">Timbro del Comitato</w:t>
      </w:r>
    </w:p>
    <w:sectPr>
      <w:headerReference r:id="rId7" w:type="default"/>
      <w:footerReference r:id="rId8" w:type="default"/>
      <w:pgSz w:h="16838" w:w="11906" w:orient="portrait"/>
      <w:pgMar w:bottom="1134" w:top="1588" w:left="1134" w:right="1134" w:header="851" w:footer="148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center" w:pos="4819"/>
        <w:tab w:val="right" w:pos="9638"/>
      </w:tabs>
      <w:spacing w:after="0" w:line="240" w:lineRule="auto"/>
      <w:rPr>
        <w:rFonts w:ascii="Arial" w:cs="Arial" w:eastAsia="Arial" w:hAnsi="Arial"/>
        <w:color w:val="cc0000"/>
        <w:sz w:val="16"/>
        <w:szCs w:val="16"/>
      </w:rPr>
    </w:pPr>
    <w:r w:rsidDel="00000000" w:rsidR="00000000" w:rsidRPr="00000000">
      <w:rPr>
        <w:rFonts w:ascii="Arial" w:cs="Arial" w:eastAsia="Arial" w:hAnsi="Arial"/>
        <w:color w:val="cc0000"/>
        <w:sz w:val="16"/>
        <w:szCs w:val="1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1981200</wp:posOffset>
              </wp:positionV>
              <wp:extent cx="863600" cy="469900"/>
              <wp:effectExtent b="0" l="0" r="0" t="0"/>
              <wp:wrapNone/>
              <wp:docPr descr="www.cri.it&#10;Salvare vite, cambiare mentalità&#10;" id="125" name=""/>
              <a:graphic>
                <a:graphicData uri="http://schemas.microsoft.com/office/word/2010/wordprocessingShape">
                  <wps:wsp>
                    <wps:cNvSpPr/>
                    <wps:cNvPr id="5" name="Shape 5"/>
                    <wps:spPr>
                      <a:xfrm>
                        <a:off x="4952300" y="3583150"/>
                        <a:ext cx="787400" cy="3937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c00000"/>
                              <w:sz w:val="18"/>
                              <w:vertAlign w:val="baseline"/>
                            </w:rPr>
                            <w:t xml:space="preserve">www.cri.it</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c00000"/>
                              <w:sz w:val="18"/>
                              <w:vertAlign w:val="baseline"/>
                            </w:rPr>
                          </w:r>
                          <w:r w:rsidDel="00000000" w:rsidR="00000000" w:rsidRPr="00000000">
                            <w:rPr>
                              <w:rFonts w:ascii="Arial" w:cs="Arial" w:eastAsia="Arial" w:hAnsi="Arial"/>
                              <w:b w:val="0"/>
                              <w:i w:val="0"/>
                              <w:smallCaps w:val="0"/>
                              <w:strike w:val="0"/>
                              <w:color w:val="c00000"/>
                              <w:sz w:val="18"/>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1981200</wp:posOffset>
              </wp:positionV>
              <wp:extent cx="863600" cy="469900"/>
              <wp:effectExtent b="0" l="0" r="0" t="0"/>
              <wp:wrapNone/>
              <wp:docPr descr="www.cri.it&#10;Salvare vite, cambiare mentalità&#10;" id="125" name="image4.png"/>
              <a:graphic>
                <a:graphicData uri="http://schemas.openxmlformats.org/drawingml/2006/picture">
                  <pic:pic>
                    <pic:nvPicPr>
                      <pic:cNvPr descr="www.cri.it&#10;Salvare vite, cambiare mentalità&#10;" id="0" name="image4.png"/>
                      <pic:cNvPicPr preferRelativeResize="0"/>
                    </pic:nvPicPr>
                    <pic:blipFill>
                      <a:blip r:embed="rId1"/>
                      <a:srcRect/>
                      <a:stretch>
                        <a:fillRect/>
                      </a:stretch>
                    </pic:blipFill>
                    <pic:spPr>
                      <a:xfrm>
                        <a:off x="0" y="0"/>
                        <a:ext cx="86360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1981200</wp:posOffset>
              </wp:positionV>
              <wp:extent cx="863600" cy="469900"/>
              <wp:effectExtent b="0" l="0" r="0" t="0"/>
              <wp:wrapNone/>
              <wp:docPr descr="www.cri.it&#10;Salvare vite, cambiare mentalità&#10;" id="123" name=""/>
              <a:graphic>
                <a:graphicData uri="http://schemas.microsoft.com/office/word/2010/wordprocessingShape">
                  <wps:wsp>
                    <wps:cNvSpPr/>
                    <wps:cNvPr id="3" name="Shape 3"/>
                    <wps:spPr>
                      <a:xfrm>
                        <a:off x="4952300" y="3583150"/>
                        <a:ext cx="787400" cy="3937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c00000"/>
                              <w:sz w:val="18"/>
                              <w:vertAlign w:val="baseline"/>
                            </w:rPr>
                            <w:t xml:space="preserve">www.cri.it</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c00000"/>
                              <w:sz w:val="18"/>
                              <w:vertAlign w:val="baseline"/>
                            </w:rPr>
                          </w:r>
                          <w:r w:rsidDel="00000000" w:rsidR="00000000" w:rsidRPr="00000000">
                            <w:rPr>
                              <w:rFonts w:ascii="Arial" w:cs="Arial" w:eastAsia="Arial" w:hAnsi="Arial"/>
                              <w:b w:val="0"/>
                              <w:i w:val="0"/>
                              <w:smallCaps w:val="0"/>
                              <w:strike w:val="0"/>
                              <w:color w:val="c00000"/>
                              <w:sz w:val="18"/>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1981200</wp:posOffset>
              </wp:positionV>
              <wp:extent cx="863600" cy="469900"/>
              <wp:effectExtent b="0" l="0" r="0" t="0"/>
              <wp:wrapNone/>
              <wp:docPr descr="www.cri.it&#10;Salvare vite, cambiare mentalità&#10;" id="123" name="image2.png"/>
              <a:graphic>
                <a:graphicData uri="http://schemas.openxmlformats.org/drawingml/2006/picture">
                  <pic:pic>
                    <pic:nvPicPr>
                      <pic:cNvPr descr="www.cri.it&#10;Salvare vite, cambiare mentalità&#10;" id="0" name="image2.png"/>
                      <pic:cNvPicPr preferRelativeResize="0"/>
                    </pic:nvPicPr>
                    <pic:blipFill>
                      <a:blip r:embed="rId2"/>
                      <a:srcRect/>
                      <a:stretch>
                        <a:fillRect/>
                      </a:stretch>
                    </pic:blipFill>
                    <pic:spPr>
                      <a:xfrm>
                        <a:off x="0" y="0"/>
                        <a:ext cx="86360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6070600</wp:posOffset>
              </wp:positionH>
              <wp:positionV relativeFrom="paragraph">
                <wp:posOffset>0</wp:posOffset>
              </wp:positionV>
              <wp:extent cx="3704590" cy="2016760"/>
              <wp:effectExtent b="0" l="0" r="0" t="0"/>
              <wp:wrapNone/>
              <wp:docPr id="122" name=""/>
              <a:graphic>
                <a:graphicData uri="http://schemas.microsoft.com/office/word/2010/wordprocessingShape">
                  <wps:wsp>
                    <wps:cNvSpPr/>
                    <wps:cNvPr id="2" name="Shape 2"/>
                    <wps:spPr>
                      <a:xfrm>
                        <a:off x="3531805" y="2809720"/>
                        <a:ext cx="3628390" cy="19405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708.0000305175781"/>
                            <w:jc w:val="right"/>
                            <w:textDirection w:val="btLr"/>
                          </w:pPr>
                          <w:r w:rsidDel="00000000" w:rsidR="00000000" w:rsidRPr="00000000">
                            <w:rPr>
                              <w:rFonts w:ascii="Arial" w:cs="Arial" w:eastAsia="Arial" w:hAnsi="Arial"/>
                              <w:b w:val="0"/>
                              <w:i w:val="0"/>
                              <w:smallCaps w:val="0"/>
                              <w:strike w:val="0"/>
                              <w:color w:val="000000"/>
                              <w:sz w:val="18"/>
                              <w:vertAlign w:val="baseline"/>
                            </w:rPr>
                            <w:t xml:space="preserve"> </w:t>
                          </w:r>
                        </w:p>
                        <w:p w:rsidR="00000000" w:rsidDel="00000000" w:rsidP="00000000" w:rsidRDefault="00000000" w:rsidRPr="00000000">
                          <w:pPr>
                            <w:spacing w:after="0" w:before="0" w:line="275.00000953674316"/>
                            <w:ind w:left="0" w:right="0" w:firstLine="708.0000305175781"/>
                            <w:jc w:val="righ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6070600</wp:posOffset>
              </wp:positionH>
              <wp:positionV relativeFrom="paragraph">
                <wp:posOffset>0</wp:posOffset>
              </wp:positionV>
              <wp:extent cx="3704590" cy="2016760"/>
              <wp:effectExtent b="0" l="0" r="0" t="0"/>
              <wp:wrapNone/>
              <wp:docPr id="12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3704590" cy="2016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-63499</wp:posOffset>
              </wp:positionV>
              <wp:extent cx="814705" cy="402400"/>
              <wp:effectExtent b="0" l="0" r="0" t="0"/>
              <wp:wrapNone/>
              <wp:docPr id="124" name=""/>
              <a:graphic>
                <a:graphicData uri="http://schemas.microsoft.com/office/word/2010/wordprocessingShape">
                  <wps:wsp>
                    <wps:cNvSpPr/>
                    <wps:cNvPr id="4" name="Shape 4"/>
                    <wps:spPr>
                      <a:xfrm>
                        <a:off x="4976748" y="3622203"/>
                        <a:ext cx="738505" cy="31559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-63499</wp:posOffset>
              </wp:positionV>
              <wp:extent cx="814705" cy="402400"/>
              <wp:effectExtent b="0" l="0" r="0" t="0"/>
              <wp:wrapNone/>
              <wp:docPr id="124"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814705" cy="402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spacing w:after="120" w:lineRule="auto"/>
      <w:jc w:val="center"/>
      <w:rPr>
        <w:b w:val="1"/>
        <w:i w:val="1"/>
        <w:u w:val="single"/>
      </w:rPr>
    </w:pPr>
    <w:r w:rsidDel="00000000" w:rsidR="00000000" w:rsidRPr="00000000">
      <w:rPr>
        <w:b w:val="1"/>
        <w:i w:val="1"/>
        <w:u w:val="single"/>
        <w:rtl w:val="0"/>
      </w:rPr>
      <w:t xml:space="preserve">INSERIRE CARTA INTESTATA DEL COMITATO TERRITORIALE CHE PROPONE L’ISTANZA</w:t>
    </w:r>
  </w:p>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-101599</wp:posOffset>
              </wp:positionV>
              <wp:extent cx="3294380" cy="718185"/>
              <wp:effectExtent b="0" l="0" r="0" t="0"/>
              <wp:wrapNone/>
              <wp:docPr id="126" name=""/>
              <a:graphic>
                <a:graphicData uri="http://schemas.microsoft.com/office/word/2010/wordprocessingShape">
                  <wps:wsp>
                    <wps:cNvSpPr/>
                    <wps:cNvPr id="6" name="Shape 6"/>
                    <wps:spPr>
                      <a:xfrm>
                        <a:off x="3736910" y="3459008"/>
                        <a:ext cx="3218180" cy="64198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-101599</wp:posOffset>
              </wp:positionV>
              <wp:extent cx="3294380" cy="718185"/>
              <wp:effectExtent b="0" l="0" r="0" t="0"/>
              <wp:wrapNone/>
              <wp:docPr id="12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294380" cy="7181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4C0F8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val="1"/>
    <w:rsid w:val="004C0F8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val="1"/>
    <w:unhideWhenUsed w:val="1"/>
    <w:rsid w:val="004C0F8D"/>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4C0F8D"/>
    <w:rPr>
      <w:rFonts w:ascii="Tahoma" w:cs="Tahoma" w:hAnsi="Tahoma"/>
      <w:sz w:val="16"/>
      <w:szCs w:val="16"/>
    </w:rPr>
  </w:style>
  <w:style w:type="character" w:styleId="Collegamentoipertestuale">
    <w:name w:val="Hyperlink"/>
    <w:basedOn w:val="Carpredefinitoparagrafo"/>
    <w:uiPriority w:val="99"/>
    <w:unhideWhenUsed w:val="1"/>
    <w:rsid w:val="00A03A17"/>
    <w:rPr>
      <w:color w:val="0000ff" w:themeColor="hyperlink"/>
      <w:u w:val="single"/>
    </w:rPr>
  </w:style>
  <w:style w:type="character" w:styleId="apple-converted-space" w:customStyle="1">
    <w:name w:val="apple-converted-space"/>
    <w:basedOn w:val="Carpredefinitoparagrafo"/>
    <w:rsid w:val="00952A42"/>
  </w:style>
  <w:style w:type="paragraph" w:styleId="Paragrafoelenco">
    <w:name w:val="List Paragraph"/>
    <w:basedOn w:val="Normale"/>
    <w:uiPriority w:val="34"/>
    <w:qFormat w:val="1"/>
    <w:rsid w:val="00952A42"/>
    <w:pPr>
      <w:ind w:left="720"/>
      <w:contextualSpacing w:val="1"/>
    </w:pPr>
  </w:style>
  <w:style w:type="paragraph" w:styleId="NormaleWeb">
    <w:name w:val="Normal (Web)"/>
    <w:basedOn w:val="Normale"/>
    <w:uiPriority w:val="99"/>
    <w:unhideWhenUsed w:val="1"/>
    <w:rsid w:val="0035575F"/>
    <w:pPr>
      <w:spacing w:after="100" w:afterAutospacing="1" w:before="100" w:beforeAutospacing="1" w:line="240" w:lineRule="auto"/>
    </w:pPr>
    <w:rPr>
      <w:rFonts w:ascii="Times New Roman" w:cs="Times New Roman" w:eastAsia="Times New Roman" w:hAnsi="Times New Roman"/>
      <w:sz w:val="24"/>
      <w:szCs w:val="24"/>
    </w:rPr>
  </w:style>
  <w:style w:type="table" w:styleId="Grigliatabella">
    <w:name w:val="Table Grid"/>
    <w:basedOn w:val="Tabellanormale"/>
    <w:uiPriority w:val="59"/>
    <w:rsid w:val="00033B37"/>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3D42B2"/>
    <w:rPr>
      <w:sz w:val="16"/>
      <w:szCs w:val="16"/>
    </w:rPr>
  </w:style>
  <w:style w:type="paragraph" w:styleId="Testocommento">
    <w:name w:val="annotation text"/>
    <w:basedOn w:val="Normale"/>
    <w:link w:val="TestocommentoCarattere"/>
    <w:uiPriority w:val="99"/>
    <w:semiHidden w:val="1"/>
    <w:unhideWhenUsed w:val="1"/>
    <w:rsid w:val="003D42B2"/>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3D42B2"/>
    <w:rPr>
      <w:sz w:val="20"/>
      <w:szCs w:val="20"/>
    </w:rPr>
  </w:style>
  <w:style w:type="paragraph" w:styleId="Soggettocommento">
    <w:name w:val="annotation subject"/>
    <w:basedOn w:val="Testocommento"/>
    <w:next w:val="Testocommento"/>
    <w:link w:val="SoggettocommentoCarattere"/>
    <w:uiPriority w:val="99"/>
    <w:semiHidden w:val="1"/>
    <w:unhideWhenUsed w:val="1"/>
    <w:rsid w:val="003D42B2"/>
    <w:rPr>
      <w:b w:val="1"/>
      <w:bCs w:val="1"/>
    </w:rPr>
  </w:style>
  <w:style w:type="character" w:styleId="SoggettocommentoCarattere" w:customStyle="1">
    <w:name w:val="Soggetto commento Carattere"/>
    <w:basedOn w:val="TestocommentoCarattere"/>
    <w:link w:val="Soggettocommento"/>
    <w:uiPriority w:val="99"/>
    <w:semiHidden w:val="1"/>
    <w:rsid w:val="003D42B2"/>
    <w:rPr>
      <w:b w:val="1"/>
      <w:bCs w:val="1"/>
      <w:sz w:val="20"/>
      <w:szCs w:val="20"/>
    </w:rPr>
  </w:style>
  <w:style w:type="paragraph" w:styleId="Testonotaapidipagina">
    <w:name w:val="footnote text"/>
    <w:basedOn w:val="Normale"/>
    <w:link w:val="TestonotaapidipaginaCarattere"/>
    <w:uiPriority w:val="99"/>
    <w:semiHidden w:val="1"/>
    <w:unhideWhenUsed w:val="1"/>
    <w:rsid w:val="00417C1C"/>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417C1C"/>
    <w:rPr>
      <w:sz w:val="20"/>
      <w:szCs w:val="20"/>
    </w:rPr>
  </w:style>
  <w:style w:type="character" w:styleId="Rimandonotaapidipagina">
    <w:name w:val="footnote reference"/>
    <w:basedOn w:val="Carpredefinitoparagrafo"/>
    <w:uiPriority w:val="99"/>
    <w:semiHidden w:val="1"/>
    <w:unhideWhenUsed w:val="1"/>
    <w:rsid w:val="00417C1C"/>
    <w:rPr>
      <w:vertAlign w:val="superscrip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5"/>
    <w:pPr>
      <w:spacing w:after="0" w:line="240" w:lineRule="auto"/>
    </w:pPr>
    <w:tblPr>
      <w:tblStyleRowBandSize w:val="1"/>
      <w:tblStyleColBandSize w:val="1"/>
      <w:tblCellMar>
        <w:left w:w="108.0" w:type="dxa"/>
        <w:right w:w="108.0" w:type="dxa"/>
      </w:tblCellMar>
    </w:tblPr>
  </w:style>
  <w:style w:type="character" w:styleId="Menzionenonrisolta1" w:customStyle="1">
    <w:name w:val="Menzione non risolta1"/>
    <w:basedOn w:val="Carpredefinitoparagrafo"/>
    <w:uiPriority w:val="99"/>
    <w:semiHidden w:val="1"/>
    <w:unhideWhenUsed w:val="1"/>
    <w:rsid w:val="00E03CD6"/>
    <w:rPr>
      <w:color w:val="605e5c"/>
      <w:shd w:color="auto" w:fill="e1dfdd" w:val="clear"/>
    </w:rPr>
  </w:style>
  <w:style w:type="table" w:styleId="a0" w:customStyle="1">
    <w:basedOn w:val="TableNormal5"/>
    <w:tblPr>
      <w:tblStyleRowBandSize w:val="1"/>
      <w:tblStyleColBandSize w:val="1"/>
      <w:tblCellMar>
        <w:top w:w="100.0" w:type="dxa"/>
        <w:left w:w="100.0" w:type="dxa"/>
        <w:bottom w:w="100.0" w:type="dxa"/>
        <w:right w:w="100.0" w:type="dxa"/>
      </w:tblCellMar>
    </w:tblPr>
  </w:style>
  <w:style w:type="table" w:styleId="a1" w:customStyle="1">
    <w:basedOn w:val="TableNormal5"/>
    <w:tblPr>
      <w:tblStyleRowBandSize w:val="1"/>
      <w:tblStyleColBandSize w:val="1"/>
      <w:tblCellMar>
        <w:top w:w="100.0" w:type="dxa"/>
        <w:left w:w="100.0" w:type="dxa"/>
        <w:bottom w:w="100.0" w:type="dxa"/>
        <w:right w:w="100.0" w:type="dxa"/>
      </w:tblCellMar>
    </w:tblPr>
  </w:style>
  <w:style w:type="table" w:styleId="a2" w:customStyle="1">
    <w:basedOn w:val="TableNormal5"/>
    <w:pPr>
      <w:spacing w:after="0" w:line="240" w:lineRule="auto"/>
    </w:pPr>
    <w:tblPr>
      <w:tblStyleRowBandSize w:val="1"/>
      <w:tblStyleColBandSize w:val="1"/>
      <w:tblCellMar>
        <w:left w:w="108.0" w:type="dxa"/>
        <w:right w:w="108.0" w:type="dxa"/>
      </w:tblCellMar>
    </w:tblPr>
  </w:style>
  <w:style w:type="table" w:styleId="a3" w:customStyle="1">
    <w:basedOn w:val="TableNormal4"/>
    <w:tblPr>
      <w:tblStyleRowBandSize w:val="1"/>
      <w:tblStyleColBandSize w:val="1"/>
      <w:tblCellMar>
        <w:top w:w="100.0" w:type="dxa"/>
        <w:left w:w="100.0" w:type="dxa"/>
        <w:bottom w:w="100.0" w:type="dxa"/>
        <w:right w:w="100.0" w:type="dxa"/>
      </w:tblCellMar>
    </w:tblPr>
  </w:style>
  <w:style w:type="table" w:styleId="a4" w:customStyle="1">
    <w:basedOn w:val="TableNormal4"/>
    <w:tblPr>
      <w:tblStyleRowBandSize w:val="1"/>
      <w:tblStyleColBandSize w:val="1"/>
      <w:tblCellMar>
        <w:top w:w="100.0" w:type="dxa"/>
        <w:left w:w="100.0" w:type="dxa"/>
        <w:bottom w:w="100.0" w:type="dxa"/>
        <w:right w:w="100.0" w:type="dxa"/>
      </w:tblCellMar>
    </w:tblPr>
  </w:style>
  <w:style w:type="table" w:styleId="a5" w:customStyle="1">
    <w:basedOn w:val="TableNormal4"/>
    <w:tblPr>
      <w:tblStyleRowBandSize w:val="1"/>
      <w:tblStyleColBandSize w:val="1"/>
      <w:tblCellMar>
        <w:top w:w="100.0" w:type="dxa"/>
        <w:left w:w="100.0" w:type="dxa"/>
        <w:bottom w:w="100.0" w:type="dxa"/>
        <w:right w:w="100.0" w:type="dxa"/>
      </w:tblCellMar>
    </w:tblPr>
  </w:style>
  <w:style w:type="table" w:styleId="a6" w:customStyle="1">
    <w:basedOn w:val="TableNormal4"/>
    <w:tblPr>
      <w:tblStyleRowBandSize w:val="1"/>
      <w:tblStyleColBandSize w:val="1"/>
      <w:tblCellMar>
        <w:top w:w="100.0" w:type="dxa"/>
        <w:left w:w="100.0" w:type="dxa"/>
        <w:bottom w:w="100.0" w:type="dxa"/>
        <w:right w:w="100.0" w:type="dxa"/>
      </w:tblCellMar>
    </w:tblPr>
  </w:style>
  <w:style w:type="table" w:styleId="a7" w:customStyle="1">
    <w:basedOn w:val="TableNormal4"/>
    <w:tblPr>
      <w:tblStyleRowBandSize w:val="1"/>
      <w:tblStyleColBandSize w:val="1"/>
      <w:tblCellMar>
        <w:top w:w="100.0" w:type="dxa"/>
        <w:left w:w="100.0" w:type="dxa"/>
        <w:bottom w:w="100.0" w:type="dxa"/>
        <w:right w:w="100.0" w:type="dxa"/>
      </w:tblCellMar>
    </w:tblPr>
  </w:style>
  <w:style w:type="table" w:styleId="a8" w:customStyle="1">
    <w:basedOn w:val="TableNormal4"/>
    <w:tblPr>
      <w:tblStyleRowBandSize w:val="1"/>
      <w:tblStyleColBandSize w:val="1"/>
      <w:tblCellMar>
        <w:top w:w="100.0" w:type="dxa"/>
        <w:left w:w="100.0" w:type="dxa"/>
        <w:bottom w:w="100.0" w:type="dxa"/>
        <w:right w:w="100.0" w:type="dxa"/>
      </w:tblCellMar>
    </w:tblPr>
  </w:style>
  <w:style w:type="table" w:styleId="a9" w:customStyle="1">
    <w:basedOn w:val="TableNormal4"/>
    <w:tblPr>
      <w:tblStyleRowBandSize w:val="1"/>
      <w:tblStyleColBandSize w:val="1"/>
      <w:tblCellMar>
        <w:top w:w="100.0" w:type="dxa"/>
        <w:left w:w="100.0" w:type="dxa"/>
        <w:bottom w:w="100.0" w:type="dxa"/>
        <w:right w:w="100.0" w:type="dxa"/>
      </w:tblCellMar>
    </w:tblPr>
  </w:style>
  <w:style w:type="table" w:styleId="aa" w:customStyle="1">
    <w:basedOn w:val="TableNormal4"/>
    <w:tblPr>
      <w:tblStyleRowBandSize w:val="1"/>
      <w:tblStyleColBandSize w:val="1"/>
      <w:tblCellMar>
        <w:top w:w="100.0" w:type="dxa"/>
        <w:left w:w="100.0" w:type="dxa"/>
        <w:bottom w:w="100.0" w:type="dxa"/>
        <w:right w:w="100.0" w:type="dxa"/>
      </w:tblCellMar>
    </w:tblPr>
  </w:style>
  <w:style w:type="table" w:styleId="ab" w:customStyle="1">
    <w:basedOn w:val="TableNormal4"/>
    <w:tblPr>
      <w:tblStyleRowBandSize w:val="1"/>
      <w:tblStyleColBandSize w:val="1"/>
      <w:tblCellMar>
        <w:top w:w="100.0" w:type="dxa"/>
        <w:left w:w="100.0" w:type="dxa"/>
        <w:bottom w:w="100.0" w:type="dxa"/>
        <w:right w:w="100.0" w:type="dxa"/>
      </w:tblCellMar>
    </w:tblPr>
  </w:style>
  <w:style w:type="table" w:styleId="ac" w:customStyle="1">
    <w:basedOn w:val="TableNormal4"/>
    <w:tblPr>
      <w:tblStyleRowBandSize w:val="1"/>
      <w:tblStyleColBandSize w:val="1"/>
      <w:tblCellMar>
        <w:top w:w="100.0" w:type="dxa"/>
        <w:left w:w="100.0" w:type="dxa"/>
        <w:bottom w:w="100.0" w:type="dxa"/>
        <w:right w:w="100.0" w:type="dxa"/>
      </w:tblCellMar>
    </w:tblPr>
  </w:style>
  <w:style w:type="table" w:styleId="ad" w:customStyle="1">
    <w:basedOn w:val="TableNormal4"/>
    <w:tblPr>
      <w:tblStyleRowBandSize w:val="1"/>
      <w:tblStyleColBandSize w:val="1"/>
      <w:tblCellMar>
        <w:top w:w="100.0" w:type="dxa"/>
        <w:left w:w="100.0" w:type="dxa"/>
        <w:bottom w:w="100.0" w:type="dxa"/>
        <w:right w:w="100.0" w:type="dxa"/>
      </w:tblCellMar>
    </w:tblPr>
  </w:style>
  <w:style w:type="table" w:styleId="ae" w:customStyle="1">
    <w:basedOn w:val="TableNormal4"/>
    <w:tblPr>
      <w:tblStyleRowBandSize w:val="1"/>
      <w:tblStyleColBandSize w:val="1"/>
      <w:tblCellMar>
        <w:top w:w="100.0" w:type="dxa"/>
        <w:left w:w="100.0" w:type="dxa"/>
        <w:bottom w:w="100.0" w:type="dxa"/>
        <w:right w:w="100.0" w:type="dxa"/>
      </w:tblCellMar>
    </w:tblPr>
  </w:style>
  <w:style w:type="table" w:styleId="af" w:customStyle="1">
    <w:basedOn w:val="TableNormal4"/>
    <w:tblPr>
      <w:tblStyleRowBandSize w:val="1"/>
      <w:tblStyleColBandSize w:val="1"/>
      <w:tblCellMar>
        <w:top w:w="100.0" w:type="dxa"/>
        <w:left w:w="100.0" w:type="dxa"/>
        <w:bottom w:w="100.0" w:type="dxa"/>
        <w:right w:w="100.0" w:type="dxa"/>
      </w:tblCellMar>
    </w:tblPr>
  </w:style>
  <w:style w:type="table" w:styleId="af0" w:customStyle="1">
    <w:basedOn w:val="TableNormal4"/>
    <w:tblPr>
      <w:tblStyleRowBandSize w:val="1"/>
      <w:tblStyleColBandSize w:val="1"/>
      <w:tblCellMar>
        <w:top w:w="100.0" w:type="dxa"/>
        <w:left w:w="100.0" w:type="dxa"/>
        <w:bottom w:w="100.0" w:type="dxa"/>
        <w:right w:w="100.0" w:type="dxa"/>
      </w:tblCellMar>
    </w:tblPr>
  </w:style>
  <w:style w:type="table" w:styleId="af1" w:customStyle="1">
    <w:basedOn w:val="TableNormal4"/>
    <w:tblPr>
      <w:tblStyleRowBandSize w:val="1"/>
      <w:tblStyleColBandSize w:val="1"/>
      <w:tblCellMar>
        <w:top w:w="100.0" w:type="dxa"/>
        <w:left w:w="100.0" w:type="dxa"/>
        <w:bottom w:w="100.0" w:type="dxa"/>
        <w:right w:w="100.0" w:type="dxa"/>
      </w:tblCellMar>
    </w:tblPr>
  </w:style>
  <w:style w:type="table" w:styleId="af2" w:customStyle="1">
    <w:basedOn w:val="TableNormal4"/>
    <w:tblPr>
      <w:tblStyleRowBandSize w:val="1"/>
      <w:tblStyleColBandSize w:val="1"/>
      <w:tblCellMar>
        <w:top w:w="100.0" w:type="dxa"/>
        <w:left w:w="100.0" w:type="dxa"/>
        <w:bottom w:w="100.0" w:type="dxa"/>
        <w:right w:w="100.0" w:type="dxa"/>
      </w:tblCellMar>
    </w:tblPr>
  </w:style>
  <w:style w:type="table" w:styleId="af3" w:customStyle="1">
    <w:basedOn w:val="TableNormal4"/>
    <w:tblPr>
      <w:tblStyleRowBandSize w:val="1"/>
      <w:tblStyleColBandSize w:val="1"/>
      <w:tblCellMar>
        <w:top w:w="100.0" w:type="dxa"/>
        <w:left w:w="100.0" w:type="dxa"/>
        <w:bottom w:w="100.0" w:type="dxa"/>
        <w:right w:w="100.0" w:type="dxa"/>
      </w:tblCellMar>
    </w:tblPr>
  </w:style>
  <w:style w:type="table" w:styleId="af4" w:customStyle="1">
    <w:basedOn w:val="TableNormal4"/>
    <w:tblPr>
      <w:tblStyleRowBandSize w:val="1"/>
      <w:tblStyleColBandSize w:val="1"/>
      <w:tblCellMar>
        <w:top w:w="100.0" w:type="dxa"/>
        <w:left w:w="100.0" w:type="dxa"/>
        <w:bottom w:w="100.0" w:type="dxa"/>
        <w:right w:w="100.0" w:type="dxa"/>
      </w:tblCellMar>
    </w:tblPr>
  </w:style>
  <w:style w:type="table" w:styleId="af5" w:customStyle="1">
    <w:basedOn w:val="TableNormal4"/>
    <w:tblPr>
      <w:tblStyleRowBandSize w:val="1"/>
      <w:tblStyleColBandSize w:val="1"/>
      <w:tblCellMar>
        <w:top w:w="100.0" w:type="dxa"/>
        <w:left w:w="100.0" w:type="dxa"/>
        <w:bottom w:w="100.0" w:type="dxa"/>
        <w:right w:w="100.0" w:type="dxa"/>
      </w:tblCellMar>
    </w:tblPr>
  </w:style>
  <w:style w:type="table" w:styleId="af6" w:customStyle="1">
    <w:basedOn w:val="TableNormal4"/>
    <w:tblPr>
      <w:tblStyleRowBandSize w:val="1"/>
      <w:tblStyleColBandSize w:val="1"/>
      <w:tblCellMar>
        <w:top w:w="100.0" w:type="dxa"/>
        <w:left w:w="100.0" w:type="dxa"/>
        <w:bottom w:w="100.0" w:type="dxa"/>
        <w:right w:w="100.0" w:type="dxa"/>
      </w:tblCellMar>
    </w:tblPr>
  </w:style>
  <w:style w:type="table" w:styleId="af7" w:customStyle="1">
    <w:basedOn w:val="TableNormal4"/>
    <w:tblPr>
      <w:tblStyleRowBandSize w:val="1"/>
      <w:tblStyleColBandSize w:val="1"/>
      <w:tblCellMar>
        <w:top w:w="100.0" w:type="dxa"/>
        <w:left w:w="100.0" w:type="dxa"/>
        <w:bottom w:w="100.0" w:type="dxa"/>
        <w:right w:w="100.0" w:type="dxa"/>
      </w:tblCellMar>
    </w:tblPr>
  </w:style>
  <w:style w:type="table" w:styleId="af8" w:customStyle="1">
    <w:basedOn w:val="TableNormal4"/>
    <w:tblPr>
      <w:tblStyleRowBandSize w:val="1"/>
      <w:tblStyleColBandSize w:val="1"/>
      <w:tblCellMar>
        <w:top w:w="100.0" w:type="dxa"/>
        <w:left w:w="100.0" w:type="dxa"/>
        <w:bottom w:w="100.0" w:type="dxa"/>
        <w:right w:w="100.0" w:type="dxa"/>
      </w:tblCellMar>
    </w:tblPr>
  </w:style>
  <w:style w:type="table" w:styleId="af9" w:customStyle="1">
    <w:basedOn w:val="TableNormal4"/>
    <w:tblPr>
      <w:tblStyleRowBandSize w:val="1"/>
      <w:tblStyleColBandSize w:val="1"/>
      <w:tblCellMar>
        <w:top w:w="100.0" w:type="dxa"/>
        <w:left w:w="100.0" w:type="dxa"/>
        <w:bottom w:w="100.0" w:type="dxa"/>
        <w:right w:w="100.0" w:type="dxa"/>
      </w:tblCellMar>
    </w:tblPr>
  </w:style>
  <w:style w:type="table" w:styleId="afa" w:customStyle="1">
    <w:basedOn w:val="TableNormal2"/>
    <w:tblPr>
      <w:tblStyleRowBandSize w:val="1"/>
      <w:tblStyleColBandSize w:val="1"/>
      <w:tblCellMar>
        <w:top w:w="100.0" w:type="dxa"/>
        <w:left w:w="100.0" w:type="dxa"/>
        <w:bottom w:w="100.0" w:type="dxa"/>
        <w:right w:w="100.0" w:type="dxa"/>
      </w:tblCellMar>
    </w:tblPr>
  </w:style>
  <w:style w:type="table" w:styleId="afb" w:customStyle="1">
    <w:basedOn w:val="TableNormal2"/>
    <w:tblPr>
      <w:tblStyleRowBandSize w:val="1"/>
      <w:tblStyleColBandSize w:val="1"/>
      <w:tblCellMar>
        <w:top w:w="100.0" w:type="dxa"/>
        <w:left w:w="100.0" w:type="dxa"/>
        <w:bottom w:w="100.0" w:type="dxa"/>
        <w:right w:w="100.0" w:type="dxa"/>
      </w:tblCellMar>
    </w:tblPr>
  </w:style>
  <w:style w:type="table" w:styleId="afc" w:customStyle="1">
    <w:basedOn w:val="TableNormal2"/>
    <w:tblPr>
      <w:tblStyleRowBandSize w:val="1"/>
      <w:tblStyleColBandSize w:val="1"/>
      <w:tblCellMar>
        <w:top w:w="100.0" w:type="dxa"/>
        <w:left w:w="100.0" w:type="dxa"/>
        <w:bottom w:w="100.0" w:type="dxa"/>
        <w:right w:w="100.0" w:type="dxa"/>
      </w:tblCellMar>
    </w:tblPr>
  </w:style>
  <w:style w:type="table" w:styleId="afd" w:customStyle="1">
    <w:basedOn w:val="TableNormal2"/>
    <w:tblPr>
      <w:tblStyleRowBandSize w:val="1"/>
      <w:tblStyleColBandSize w:val="1"/>
      <w:tblCellMar>
        <w:top w:w="100.0" w:type="dxa"/>
        <w:left w:w="100.0" w:type="dxa"/>
        <w:bottom w:w="100.0" w:type="dxa"/>
        <w:right w:w="100.0" w:type="dxa"/>
      </w:tblCellMar>
    </w:tblPr>
  </w:style>
  <w:style w:type="table" w:styleId="afe" w:customStyle="1">
    <w:basedOn w:val="TableNormal2"/>
    <w:tblPr>
      <w:tblStyleRowBandSize w:val="1"/>
      <w:tblStyleColBandSize w:val="1"/>
      <w:tblCellMar>
        <w:top w:w="100.0" w:type="dxa"/>
        <w:left w:w="100.0" w:type="dxa"/>
        <w:bottom w:w="100.0" w:type="dxa"/>
        <w:right w:w="100.0" w:type="dxa"/>
      </w:tblCellMar>
    </w:tblPr>
  </w:style>
  <w:style w:type="table" w:styleId="aff" w:customStyle="1">
    <w:basedOn w:val="TableNormal1"/>
    <w:tblPr>
      <w:tblStyleRowBandSize w:val="1"/>
      <w:tblStyleColBandSize w:val="1"/>
      <w:tblCellMar>
        <w:top w:w="100.0" w:type="dxa"/>
        <w:left w:w="100.0" w:type="dxa"/>
        <w:bottom w:w="100.0" w:type="dxa"/>
        <w:right w:w="100.0" w:type="dxa"/>
      </w:tblCellMar>
    </w:tblPr>
  </w:style>
  <w:style w:type="table" w:styleId="aff0" w:customStyle="1">
    <w:basedOn w:val="TableNormal1"/>
    <w:tblPr>
      <w:tblStyleRowBandSize w:val="1"/>
      <w:tblStyleColBandSize w:val="1"/>
      <w:tblCellMar>
        <w:top w:w="100.0" w:type="dxa"/>
        <w:left w:w="100.0" w:type="dxa"/>
        <w:bottom w:w="100.0" w:type="dxa"/>
        <w:right w:w="100.0" w:type="dxa"/>
      </w:tblCellMar>
    </w:tblPr>
  </w:style>
  <w:style w:type="table" w:styleId="aff1" w:customStyle="1">
    <w:basedOn w:val="TableNormal1"/>
    <w:tblPr>
      <w:tblStyleRowBandSize w:val="1"/>
      <w:tblStyleColBandSize w:val="1"/>
      <w:tblCellMar>
        <w:top w:w="100.0" w:type="dxa"/>
        <w:left w:w="100.0" w:type="dxa"/>
        <w:bottom w:w="100.0" w:type="dxa"/>
        <w:right w:w="100.0" w:type="dxa"/>
      </w:tblCellMar>
    </w:tblPr>
  </w:style>
  <w:style w:type="table" w:styleId="aff2" w:customStyle="1">
    <w:basedOn w:val="TableNormal1"/>
    <w:tblPr>
      <w:tblStyleRowBandSize w:val="1"/>
      <w:tblStyleColBandSize w:val="1"/>
      <w:tblCellMar>
        <w:top w:w="100.0" w:type="dxa"/>
        <w:left w:w="100.0" w:type="dxa"/>
        <w:bottom w:w="100.0" w:type="dxa"/>
        <w:right w:w="100.0" w:type="dxa"/>
      </w:tblCellMar>
    </w:tblPr>
  </w:style>
  <w:style w:type="table" w:styleId="aff3" w:customStyle="1">
    <w:basedOn w:val="TableNormal1"/>
    <w:tblPr>
      <w:tblStyleRowBandSize w:val="1"/>
      <w:tblStyleColBandSize w:val="1"/>
      <w:tblCellMar>
        <w:top w:w="100.0" w:type="dxa"/>
        <w:left w:w="100.0" w:type="dxa"/>
        <w:bottom w:w="100.0" w:type="dxa"/>
        <w:right w:w="100.0" w:type="dxa"/>
      </w:tblCellMar>
    </w:tblPr>
  </w:style>
  <w:style w:type="table" w:styleId="aff4" w:customStyle="1">
    <w:basedOn w:val="TableNormal1"/>
    <w:tblPr>
      <w:tblStyleRowBandSize w:val="1"/>
      <w:tblStyleColBandSize w:val="1"/>
      <w:tblCellMar>
        <w:top w:w="100.0" w:type="dxa"/>
        <w:left w:w="100.0" w:type="dxa"/>
        <w:bottom w:w="100.0" w:type="dxa"/>
        <w:right w:w="100.0" w:type="dxa"/>
      </w:tblCellMar>
    </w:tblPr>
  </w:style>
  <w:style w:type="table" w:styleId="aff5" w:customStyle="1">
    <w:basedOn w:val="TableNormal0"/>
    <w:tblPr>
      <w:tblStyleRowBandSize w:val="1"/>
      <w:tblStyleColBandSize w:val="1"/>
      <w:tblCellMar>
        <w:top w:w="100.0" w:type="dxa"/>
        <w:left w:w="100.0" w:type="dxa"/>
        <w:bottom w:w="100.0" w:type="dxa"/>
        <w:right w:w="100.0" w:type="dxa"/>
      </w:tblCellMar>
    </w:tblPr>
  </w:style>
  <w:style w:type="table" w:styleId="aff6" w:customStyle="1">
    <w:basedOn w:val="TableNormal0"/>
    <w:tblPr>
      <w:tblStyleRowBandSize w:val="1"/>
      <w:tblStyleColBandSize w:val="1"/>
      <w:tblCellMar>
        <w:top w:w="100.0" w:type="dxa"/>
        <w:left w:w="100.0" w:type="dxa"/>
        <w:bottom w:w="100.0" w:type="dxa"/>
        <w:right w:w="100.0" w:type="dxa"/>
      </w:tblCellMar>
    </w:tblPr>
  </w:style>
  <w:style w:type="table" w:styleId="aff7" w:customStyle="1">
    <w:basedOn w:val="TableNormal0"/>
    <w:tblPr>
      <w:tblStyleRowBandSize w:val="1"/>
      <w:tblStyleColBandSize w:val="1"/>
      <w:tblCellMar>
        <w:top w:w="100.0" w:type="dxa"/>
        <w:left w:w="100.0" w:type="dxa"/>
        <w:bottom w:w="100.0" w:type="dxa"/>
        <w:right w:w="100.0" w:type="dxa"/>
      </w:tblCellMar>
    </w:tblPr>
  </w:style>
  <w:style w:type="table" w:styleId="aff8" w:customStyle="1">
    <w:basedOn w:val="TableNormal0"/>
    <w:tblPr>
      <w:tblStyleRowBandSize w:val="1"/>
      <w:tblStyleColBandSize w:val="1"/>
      <w:tblCellMar>
        <w:top w:w="100.0" w:type="dxa"/>
        <w:left w:w="100.0" w:type="dxa"/>
        <w:bottom w:w="100.0" w:type="dxa"/>
        <w:right w:w="100.0" w:type="dxa"/>
      </w:tblCellMar>
    </w:tblPr>
  </w:style>
  <w:style w:type="table" w:styleId="aff9" w:customStyle="1">
    <w:basedOn w:val="TableNormal0"/>
    <w:tblPr>
      <w:tblStyleRowBandSize w:val="1"/>
      <w:tblStyleColBandSize w:val="1"/>
      <w:tblCellMar>
        <w:top w:w="100.0" w:type="dxa"/>
        <w:left w:w="100.0" w:type="dxa"/>
        <w:bottom w:w="100.0" w:type="dxa"/>
        <w:right w:w="100.0" w:type="dxa"/>
      </w:tblCellMar>
    </w:tblPr>
  </w:style>
  <w:style w:type="table" w:styleId="affa" w:customStyle="1">
    <w:basedOn w:val="TableNormal0"/>
    <w:tblPr>
      <w:tblStyleRowBandSize w:val="1"/>
      <w:tblStyleColBandSize w:val="1"/>
      <w:tblCellMar>
        <w:left w:w="70.0" w:type="dxa"/>
        <w:right w:w="70.0" w:type="dxa"/>
      </w:tblCellMar>
    </w:tblPr>
  </w:style>
  <w:style w:type="table" w:styleId="affb"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rFpS5jtw/WM8sqcM2yHrE5aaQ==">AMUW2mXGndQqq4pDPnEphoR6pEPWXDE8bDilfunMcE8hlXWEBf8JkPkWe9ruLj8bWWZfGoUzZ//ZSacvY0Bpfc7180YB162QBVzdW64Z6OO7Dd9zm09jLIpZIVZsbdj0AEVRtzUyTP3H2aksFHgP4ExO9c0rTZ1Li50pzaFj5gX8F+AZ/H15J3nIUB8RZ//KRp4DNJBgMK6Qzu1zVKrKE8/qLTPQZ7tJ7g==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2022-12-01T15:52:00Z</dcterms:created>
  <dc:creator>Pietro Nugnes</dc:creator>
</cp:coreProperties>
</file>