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B1E" w:rsidRDefault="003C7FBB">
      <w:pPr>
        <w:pBdr>
          <w:top w:val="nil"/>
          <w:left w:val="nil"/>
          <w:bottom w:val="nil"/>
          <w:right w:val="nil"/>
          <w:between w:val="nil"/>
        </w:pBdr>
        <w:tabs>
          <w:tab w:val="center" w:pos="4819"/>
          <w:tab w:val="right" w:pos="9638"/>
        </w:tabs>
        <w:jc w:val="right"/>
        <w:rPr>
          <w:rFonts w:ascii="Arial" w:eastAsia="Arial" w:hAnsi="Arial" w:cs="Arial"/>
          <w:i/>
          <w:color w:val="000000"/>
          <w:sz w:val="18"/>
          <w:szCs w:val="18"/>
          <w:u w:val="single"/>
        </w:rPr>
      </w:pPr>
      <w:r>
        <w:rPr>
          <w:rFonts w:ascii="Arial" w:eastAsia="Arial" w:hAnsi="Arial" w:cs="Arial"/>
          <w:b/>
          <w:u w:val="single"/>
        </w:rPr>
        <w:t>Modulo B1</w:t>
      </w:r>
    </w:p>
    <w:p w:rsidR="00867B1E" w:rsidRDefault="00867B1E">
      <w:pPr>
        <w:spacing w:after="0"/>
        <w:rPr>
          <w:b/>
        </w:rPr>
      </w:pPr>
    </w:p>
    <w:p w:rsidR="00867B1E" w:rsidRDefault="003C7FBB">
      <w:pPr>
        <w:spacing w:after="0" w:line="259" w:lineRule="auto"/>
        <w:jc w:val="center"/>
        <w:rPr>
          <w:rFonts w:ascii="Arial" w:eastAsia="Arial" w:hAnsi="Arial" w:cs="Arial"/>
          <w:b/>
        </w:rPr>
      </w:pPr>
      <w:r>
        <w:rPr>
          <w:rFonts w:ascii="Arial" w:eastAsia="Arial" w:hAnsi="Arial" w:cs="Arial"/>
          <w:b/>
        </w:rPr>
        <w:t>Relazione finanziaria</w:t>
      </w:r>
    </w:p>
    <w:p w:rsidR="00867B1E" w:rsidRDefault="003C7FBB">
      <w:pPr>
        <w:tabs>
          <w:tab w:val="center" w:pos="4819"/>
          <w:tab w:val="right" w:pos="9638"/>
        </w:tabs>
        <w:spacing w:after="0" w:line="240" w:lineRule="auto"/>
        <w:jc w:val="center"/>
        <w:rPr>
          <w:rFonts w:ascii="Arial" w:eastAsia="Arial" w:hAnsi="Arial" w:cs="Arial"/>
          <w:b/>
        </w:rPr>
      </w:pPr>
      <w:r>
        <w:rPr>
          <w:rFonts w:ascii="Arial" w:eastAsia="Arial" w:hAnsi="Arial" w:cs="Arial"/>
          <w:i/>
        </w:rPr>
        <w:t>Avviso 1/2021 per la presentazione di istanze di accesso al Fondo per il sostegno e lo sviluppo dei Comitati territoriali</w:t>
      </w:r>
    </w:p>
    <w:p w:rsidR="00867B1E" w:rsidRDefault="00867B1E">
      <w:pPr>
        <w:spacing w:after="0"/>
        <w:rPr>
          <w:rFonts w:ascii="Arial" w:eastAsia="Arial" w:hAnsi="Arial" w:cs="Arial"/>
          <w:b/>
        </w:rPr>
      </w:pPr>
    </w:p>
    <w:p w:rsidR="00867B1E" w:rsidRDefault="00867B1E">
      <w:pPr>
        <w:spacing w:after="0"/>
        <w:rPr>
          <w:rFonts w:ascii="Arial" w:eastAsia="Arial" w:hAnsi="Arial" w:cs="Arial"/>
          <w:b/>
        </w:rPr>
      </w:pPr>
    </w:p>
    <w:p w:rsidR="00867B1E" w:rsidRDefault="003C7FBB">
      <w:pPr>
        <w:numPr>
          <w:ilvl w:val="0"/>
          <w:numId w:val="1"/>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rPr>
        <w:t xml:space="preserve">Anagrafica del Comitato </w:t>
      </w:r>
    </w:p>
    <w:tbl>
      <w:tblPr>
        <w:tblStyle w:val="aff"/>
        <w:tblW w:w="95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4770"/>
      </w:tblGrid>
      <w:tr w:rsidR="00867B1E">
        <w:tc>
          <w:tcPr>
            <w:tcW w:w="4785" w:type="dxa"/>
            <w:shd w:val="clear" w:color="auto" w:fill="auto"/>
            <w:tcMar>
              <w:top w:w="100" w:type="dxa"/>
              <w:left w:w="100" w:type="dxa"/>
              <w:bottom w:w="100" w:type="dxa"/>
              <w:right w:w="100" w:type="dxa"/>
            </w:tcMar>
          </w:tcPr>
          <w:p w:rsidR="00867B1E" w:rsidRDefault="003C7FBB">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rPr>
              <w:t xml:space="preserve">Comitato CRI proponente: </w:t>
            </w:r>
          </w:p>
        </w:tc>
        <w:tc>
          <w:tcPr>
            <w:tcW w:w="4770" w:type="dxa"/>
            <w:shd w:val="clear" w:color="auto" w:fill="auto"/>
            <w:tcMar>
              <w:top w:w="100" w:type="dxa"/>
              <w:left w:w="100" w:type="dxa"/>
              <w:bottom w:w="100" w:type="dxa"/>
              <w:right w:w="100" w:type="dxa"/>
            </w:tcMar>
          </w:tcPr>
          <w:p w:rsidR="00867B1E" w:rsidRDefault="00867B1E">
            <w:pPr>
              <w:widowControl w:val="0"/>
              <w:pBdr>
                <w:top w:val="nil"/>
                <w:left w:val="nil"/>
                <w:bottom w:val="nil"/>
                <w:right w:val="nil"/>
                <w:between w:val="nil"/>
              </w:pBdr>
              <w:spacing w:after="0" w:line="240" w:lineRule="auto"/>
              <w:rPr>
                <w:rFonts w:ascii="Arial" w:eastAsia="Arial" w:hAnsi="Arial" w:cs="Arial"/>
                <w:b/>
              </w:rPr>
            </w:pPr>
          </w:p>
        </w:tc>
      </w:tr>
      <w:tr w:rsidR="00867B1E">
        <w:tc>
          <w:tcPr>
            <w:tcW w:w="4785" w:type="dxa"/>
            <w:shd w:val="clear" w:color="auto" w:fill="auto"/>
            <w:tcMar>
              <w:top w:w="100" w:type="dxa"/>
              <w:left w:w="100" w:type="dxa"/>
              <w:bottom w:w="100" w:type="dxa"/>
              <w:right w:w="100" w:type="dxa"/>
            </w:tcMar>
          </w:tcPr>
          <w:p w:rsidR="00867B1E" w:rsidRDefault="003C7FBB">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rPr>
              <w:t xml:space="preserve">Nome Referente se diverso dal Presidente </w:t>
            </w:r>
          </w:p>
        </w:tc>
        <w:tc>
          <w:tcPr>
            <w:tcW w:w="4770" w:type="dxa"/>
            <w:shd w:val="clear" w:color="auto" w:fill="auto"/>
            <w:tcMar>
              <w:top w:w="100" w:type="dxa"/>
              <w:left w:w="100" w:type="dxa"/>
              <w:bottom w:w="100" w:type="dxa"/>
              <w:right w:w="100" w:type="dxa"/>
            </w:tcMar>
          </w:tcPr>
          <w:p w:rsidR="00867B1E" w:rsidRDefault="00867B1E">
            <w:pPr>
              <w:widowControl w:val="0"/>
              <w:pBdr>
                <w:top w:val="nil"/>
                <w:left w:val="nil"/>
                <w:bottom w:val="nil"/>
                <w:right w:val="nil"/>
                <w:between w:val="nil"/>
              </w:pBdr>
              <w:spacing w:after="0" w:line="240" w:lineRule="auto"/>
              <w:rPr>
                <w:rFonts w:ascii="Arial" w:eastAsia="Arial" w:hAnsi="Arial" w:cs="Arial"/>
                <w:b/>
              </w:rPr>
            </w:pPr>
          </w:p>
        </w:tc>
      </w:tr>
      <w:tr w:rsidR="00867B1E">
        <w:tc>
          <w:tcPr>
            <w:tcW w:w="4785" w:type="dxa"/>
            <w:shd w:val="clear" w:color="auto" w:fill="auto"/>
            <w:tcMar>
              <w:top w:w="100" w:type="dxa"/>
              <w:left w:w="100" w:type="dxa"/>
              <w:bottom w:w="100" w:type="dxa"/>
              <w:right w:w="100" w:type="dxa"/>
            </w:tcMar>
          </w:tcPr>
          <w:p w:rsidR="00867B1E" w:rsidRDefault="003C7FBB">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rPr>
              <w:t>Indirizzo e-mail di riferimento</w:t>
            </w:r>
          </w:p>
        </w:tc>
        <w:tc>
          <w:tcPr>
            <w:tcW w:w="4770" w:type="dxa"/>
            <w:shd w:val="clear" w:color="auto" w:fill="auto"/>
            <w:tcMar>
              <w:top w:w="100" w:type="dxa"/>
              <w:left w:w="100" w:type="dxa"/>
              <w:bottom w:w="100" w:type="dxa"/>
              <w:right w:w="100" w:type="dxa"/>
            </w:tcMar>
          </w:tcPr>
          <w:p w:rsidR="00867B1E" w:rsidRDefault="00867B1E">
            <w:pPr>
              <w:widowControl w:val="0"/>
              <w:pBdr>
                <w:top w:val="nil"/>
                <w:left w:val="nil"/>
                <w:bottom w:val="nil"/>
                <w:right w:val="nil"/>
                <w:between w:val="nil"/>
              </w:pBdr>
              <w:spacing w:after="0" w:line="240" w:lineRule="auto"/>
              <w:rPr>
                <w:rFonts w:ascii="Arial" w:eastAsia="Arial" w:hAnsi="Arial" w:cs="Arial"/>
                <w:b/>
              </w:rPr>
            </w:pPr>
          </w:p>
        </w:tc>
      </w:tr>
      <w:tr w:rsidR="00867B1E">
        <w:tc>
          <w:tcPr>
            <w:tcW w:w="4785" w:type="dxa"/>
            <w:shd w:val="clear" w:color="auto" w:fill="auto"/>
            <w:tcMar>
              <w:top w:w="100" w:type="dxa"/>
              <w:left w:w="100" w:type="dxa"/>
              <w:bottom w:w="100" w:type="dxa"/>
              <w:right w:w="100" w:type="dxa"/>
            </w:tcMar>
          </w:tcPr>
          <w:p w:rsidR="00867B1E" w:rsidRDefault="003C7FBB">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rPr>
              <w:t>Contatto telefonico del referente</w:t>
            </w:r>
          </w:p>
        </w:tc>
        <w:tc>
          <w:tcPr>
            <w:tcW w:w="4770" w:type="dxa"/>
            <w:shd w:val="clear" w:color="auto" w:fill="auto"/>
            <w:tcMar>
              <w:top w:w="100" w:type="dxa"/>
              <w:left w:w="100" w:type="dxa"/>
              <w:bottom w:w="100" w:type="dxa"/>
              <w:right w:w="100" w:type="dxa"/>
            </w:tcMar>
          </w:tcPr>
          <w:p w:rsidR="00867B1E" w:rsidRDefault="00867B1E">
            <w:pPr>
              <w:widowControl w:val="0"/>
              <w:pBdr>
                <w:top w:val="nil"/>
                <w:left w:val="nil"/>
                <w:bottom w:val="nil"/>
                <w:right w:val="nil"/>
                <w:between w:val="nil"/>
              </w:pBdr>
              <w:spacing w:after="0" w:line="240" w:lineRule="auto"/>
              <w:rPr>
                <w:rFonts w:ascii="Arial" w:eastAsia="Arial" w:hAnsi="Arial" w:cs="Arial"/>
                <w:b/>
              </w:rPr>
            </w:pPr>
          </w:p>
        </w:tc>
      </w:tr>
      <w:tr w:rsidR="00867B1E">
        <w:tc>
          <w:tcPr>
            <w:tcW w:w="4785" w:type="dxa"/>
            <w:shd w:val="clear" w:color="auto" w:fill="auto"/>
            <w:tcMar>
              <w:top w:w="100" w:type="dxa"/>
              <w:left w:w="100" w:type="dxa"/>
              <w:bottom w:w="100" w:type="dxa"/>
              <w:right w:w="100" w:type="dxa"/>
            </w:tcMar>
          </w:tcPr>
          <w:p w:rsidR="00867B1E" w:rsidRDefault="003C7FBB">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rPr>
              <w:t>Coordinate bancarie del Comitato</w:t>
            </w:r>
          </w:p>
        </w:tc>
        <w:tc>
          <w:tcPr>
            <w:tcW w:w="4770" w:type="dxa"/>
            <w:shd w:val="clear" w:color="auto" w:fill="auto"/>
            <w:tcMar>
              <w:top w:w="100" w:type="dxa"/>
              <w:left w:w="100" w:type="dxa"/>
              <w:bottom w:w="100" w:type="dxa"/>
              <w:right w:w="100" w:type="dxa"/>
            </w:tcMar>
          </w:tcPr>
          <w:p w:rsidR="00867B1E" w:rsidRDefault="00867B1E">
            <w:pPr>
              <w:widowControl w:val="0"/>
              <w:pBdr>
                <w:top w:val="nil"/>
                <w:left w:val="nil"/>
                <w:bottom w:val="nil"/>
                <w:right w:val="nil"/>
                <w:between w:val="nil"/>
              </w:pBdr>
              <w:spacing w:after="0" w:line="240" w:lineRule="auto"/>
              <w:rPr>
                <w:rFonts w:ascii="Arial" w:eastAsia="Arial" w:hAnsi="Arial" w:cs="Arial"/>
                <w:b/>
              </w:rPr>
            </w:pPr>
          </w:p>
        </w:tc>
      </w:tr>
    </w:tbl>
    <w:p w:rsidR="00867B1E" w:rsidRDefault="00867B1E">
      <w:pPr>
        <w:spacing w:after="0" w:line="240" w:lineRule="auto"/>
        <w:jc w:val="both"/>
        <w:rPr>
          <w:rFonts w:ascii="Arial" w:eastAsia="Arial" w:hAnsi="Arial" w:cs="Arial"/>
        </w:rPr>
      </w:pPr>
    </w:p>
    <w:p w:rsidR="00867B1E" w:rsidRDefault="003C7FBB">
      <w:pPr>
        <w:keepNext/>
        <w:keepLines/>
        <w:numPr>
          <w:ilvl w:val="0"/>
          <w:numId w:val="1"/>
        </w:numPr>
        <w:pBdr>
          <w:top w:val="nil"/>
          <w:left w:val="nil"/>
          <w:bottom w:val="nil"/>
          <w:right w:val="nil"/>
          <w:between w:val="nil"/>
        </w:pBdr>
        <w:spacing w:before="280" w:after="0" w:line="240" w:lineRule="auto"/>
        <w:jc w:val="both"/>
        <w:rPr>
          <w:rFonts w:ascii="Arial" w:eastAsia="Arial" w:hAnsi="Arial" w:cs="Arial"/>
          <w:b/>
          <w:color w:val="000000"/>
        </w:rPr>
      </w:pPr>
      <w:bookmarkStart w:id="0" w:name="_heading=h.y87teiu6tc4q" w:colFirst="0" w:colLast="0"/>
      <w:bookmarkEnd w:id="0"/>
      <w:r>
        <w:rPr>
          <w:rFonts w:ascii="Arial" w:eastAsia="Arial" w:hAnsi="Arial" w:cs="Arial"/>
          <w:b/>
          <w:color w:val="000000"/>
        </w:rPr>
        <w:t>Ambito di intervento</w:t>
      </w:r>
    </w:p>
    <w:tbl>
      <w:tblPr>
        <w:tblStyle w:val="aff0"/>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67B1E">
        <w:tc>
          <w:tcPr>
            <w:tcW w:w="9638" w:type="dxa"/>
            <w:shd w:val="clear" w:color="auto" w:fill="auto"/>
            <w:tcMar>
              <w:top w:w="100" w:type="dxa"/>
              <w:left w:w="100" w:type="dxa"/>
              <w:bottom w:w="100" w:type="dxa"/>
              <w:right w:w="100" w:type="dxa"/>
            </w:tcMar>
          </w:tcPr>
          <w:p w:rsidR="00867B1E" w:rsidRDefault="003C7FBB">
            <w:pPr>
              <w:spacing w:after="0" w:line="240" w:lineRule="auto"/>
              <w:jc w:val="both"/>
              <w:rPr>
                <w:rFonts w:ascii="Arial" w:eastAsia="Arial" w:hAnsi="Arial" w:cs="Arial"/>
              </w:rPr>
            </w:pPr>
            <w:r>
              <w:rPr>
                <w:rFonts w:ascii="Arial" w:eastAsia="Arial" w:hAnsi="Arial" w:cs="Arial"/>
                <w:i/>
              </w:rPr>
              <w:t xml:space="preserve">Descrivere le cause della crisi di liquidità e quali misure di intervento si intendono adottare per risanare l’equilibrio economico-finanziario del Comitato, in particolare specificando l’utilizzo del finanziamento richiesto. </w:t>
            </w:r>
          </w:p>
        </w:tc>
      </w:tr>
      <w:tr w:rsidR="00867B1E">
        <w:tc>
          <w:tcPr>
            <w:tcW w:w="9638" w:type="dxa"/>
            <w:shd w:val="clear" w:color="auto" w:fill="auto"/>
            <w:tcMar>
              <w:top w:w="100" w:type="dxa"/>
              <w:left w:w="100" w:type="dxa"/>
              <w:bottom w:w="100" w:type="dxa"/>
              <w:right w:w="100" w:type="dxa"/>
            </w:tcMar>
          </w:tcPr>
          <w:p w:rsidR="00867B1E" w:rsidRDefault="00867B1E">
            <w:pPr>
              <w:widowControl w:val="0"/>
              <w:pBdr>
                <w:top w:val="nil"/>
                <w:left w:val="nil"/>
                <w:bottom w:val="nil"/>
                <w:right w:val="nil"/>
                <w:between w:val="nil"/>
              </w:pBdr>
              <w:spacing w:after="0" w:line="240" w:lineRule="auto"/>
              <w:rPr>
                <w:rFonts w:ascii="Arial" w:eastAsia="Arial" w:hAnsi="Arial" w:cs="Arial"/>
              </w:rPr>
            </w:pPr>
          </w:p>
        </w:tc>
      </w:tr>
    </w:tbl>
    <w:p w:rsidR="00867B1E" w:rsidRDefault="003C7FBB">
      <w:pPr>
        <w:keepNext/>
        <w:keepLines/>
        <w:numPr>
          <w:ilvl w:val="0"/>
          <w:numId w:val="1"/>
        </w:numPr>
        <w:pBdr>
          <w:top w:val="nil"/>
          <w:left w:val="nil"/>
          <w:bottom w:val="nil"/>
          <w:right w:val="nil"/>
          <w:between w:val="nil"/>
        </w:pBdr>
        <w:spacing w:before="280" w:after="0" w:line="240" w:lineRule="auto"/>
        <w:jc w:val="both"/>
        <w:rPr>
          <w:rFonts w:ascii="Arial" w:eastAsia="Arial" w:hAnsi="Arial" w:cs="Arial"/>
          <w:b/>
          <w:color w:val="000000"/>
        </w:rPr>
      </w:pPr>
      <w:bookmarkStart w:id="1" w:name="_heading=h.s06hgv1486vk" w:colFirst="0" w:colLast="0"/>
      <w:bookmarkEnd w:id="1"/>
      <w:r>
        <w:rPr>
          <w:rFonts w:ascii="Arial" w:eastAsia="Arial" w:hAnsi="Arial" w:cs="Arial"/>
          <w:b/>
          <w:color w:val="000000"/>
        </w:rPr>
        <w:t xml:space="preserve">Urgenza </w:t>
      </w:r>
    </w:p>
    <w:tbl>
      <w:tblPr>
        <w:tblStyle w:val="aff1"/>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67B1E">
        <w:tc>
          <w:tcPr>
            <w:tcW w:w="9638" w:type="dxa"/>
            <w:shd w:val="clear" w:color="auto" w:fill="auto"/>
            <w:tcMar>
              <w:top w:w="100" w:type="dxa"/>
              <w:left w:w="100" w:type="dxa"/>
              <w:bottom w:w="100" w:type="dxa"/>
              <w:right w:w="100" w:type="dxa"/>
            </w:tcMar>
          </w:tcPr>
          <w:p w:rsidR="00867B1E" w:rsidRDefault="003C7FBB">
            <w:pPr>
              <w:widowControl w:val="0"/>
              <w:pBdr>
                <w:top w:val="nil"/>
                <w:left w:val="nil"/>
                <w:bottom w:val="nil"/>
                <w:right w:val="nil"/>
                <w:between w:val="nil"/>
              </w:pBdr>
              <w:spacing w:after="0" w:line="240" w:lineRule="auto"/>
              <w:jc w:val="both"/>
              <w:rPr>
                <w:rFonts w:ascii="Arial" w:eastAsia="Arial" w:hAnsi="Arial" w:cs="Arial"/>
                <w:b/>
                <w:i/>
              </w:rPr>
            </w:pPr>
            <w:r>
              <w:rPr>
                <w:rFonts w:ascii="Arial" w:eastAsia="Arial" w:hAnsi="Arial" w:cs="Arial"/>
                <w:i/>
              </w:rPr>
              <w:t>Definire il livello di urgenza delle misure individuate, in relazione alle scadenze previste e agli effetti della mancata attuazione dell'intervento sulla continuità economica del Comitato.</w:t>
            </w:r>
          </w:p>
        </w:tc>
      </w:tr>
      <w:tr w:rsidR="00867B1E">
        <w:tc>
          <w:tcPr>
            <w:tcW w:w="9638" w:type="dxa"/>
            <w:shd w:val="clear" w:color="auto" w:fill="auto"/>
            <w:tcMar>
              <w:top w:w="100" w:type="dxa"/>
              <w:left w:w="100" w:type="dxa"/>
              <w:bottom w:w="100" w:type="dxa"/>
              <w:right w:w="100" w:type="dxa"/>
            </w:tcMar>
          </w:tcPr>
          <w:p w:rsidR="00867B1E" w:rsidRDefault="00867B1E">
            <w:pPr>
              <w:widowControl w:val="0"/>
              <w:pBdr>
                <w:top w:val="nil"/>
                <w:left w:val="nil"/>
                <w:bottom w:val="nil"/>
                <w:right w:val="nil"/>
                <w:between w:val="nil"/>
              </w:pBdr>
              <w:spacing w:after="0" w:line="240" w:lineRule="auto"/>
              <w:rPr>
                <w:rFonts w:ascii="Arial" w:eastAsia="Arial" w:hAnsi="Arial" w:cs="Arial"/>
              </w:rPr>
            </w:pPr>
          </w:p>
        </w:tc>
      </w:tr>
    </w:tbl>
    <w:p w:rsidR="00867B1E" w:rsidRDefault="00867B1E">
      <w:pPr>
        <w:rPr>
          <w:rFonts w:ascii="Arial" w:eastAsia="Arial" w:hAnsi="Arial" w:cs="Arial"/>
        </w:rPr>
      </w:pPr>
    </w:p>
    <w:p w:rsidR="00867B1E" w:rsidRDefault="0069760D">
      <w:pPr>
        <w:keepNext/>
        <w:keepLines/>
        <w:numPr>
          <w:ilvl w:val="0"/>
          <w:numId w:val="1"/>
        </w:numPr>
        <w:pBdr>
          <w:top w:val="nil"/>
          <w:left w:val="nil"/>
          <w:bottom w:val="nil"/>
          <w:right w:val="nil"/>
          <w:between w:val="nil"/>
        </w:pBdr>
        <w:spacing w:before="280" w:after="0" w:line="240" w:lineRule="auto"/>
        <w:jc w:val="both"/>
        <w:rPr>
          <w:rFonts w:ascii="Arial" w:eastAsia="Arial" w:hAnsi="Arial" w:cs="Arial"/>
          <w:b/>
          <w:color w:val="000000"/>
        </w:rPr>
      </w:pPr>
      <w:r>
        <w:rPr>
          <w:rFonts w:ascii="Arial" w:eastAsia="Arial" w:hAnsi="Arial" w:cs="Arial"/>
          <w:b/>
          <w:color w:val="000000"/>
        </w:rPr>
        <w:t>C</w:t>
      </w:r>
      <w:r w:rsidR="003C7FBB">
        <w:rPr>
          <w:rFonts w:ascii="Arial" w:eastAsia="Arial" w:hAnsi="Arial" w:cs="Arial"/>
          <w:b/>
          <w:color w:val="000000"/>
        </w:rPr>
        <w:t>ontinuità economica</w:t>
      </w:r>
    </w:p>
    <w:tbl>
      <w:tblPr>
        <w:tblStyle w:val="aff2"/>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67B1E">
        <w:tc>
          <w:tcPr>
            <w:tcW w:w="9638" w:type="dxa"/>
            <w:shd w:val="clear" w:color="auto" w:fill="auto"/>
            <w:tcMar>
              <w:top w:w="100" w:type="dxa"/>
              <w:left w:w="100" w:type="dxa"/>
              <w:bottom w:w="100" w:type="dxa"/>
              <w:right w:w="100" w:type="dxa"/>
            </w:tcMar>
          </w:tcPr>
          <w:p w:rsidR="00867B1E" w:rsidRDefault="003C7FBB">
            <w:pPr>
              <w:widowControl w:val="0"/>
              <w:pBdr>
                <w:top w:val="nil"/>
                <w:left w:val="nil"/>
                <w:bottom w:val="nil"/>
                <w:right w:val="nil"/>
                <w:between w:val="nil"/>
              </w:pBdr>
              <w:spacing w:after="0" w:line="240" w:lineRule="auto"/>
              <w:jc w:val="both"/>
              <w:rPr>
                <w:rFonts w:ascii="Arial" w:eastAsia="Arial" w:hAnsi="Arial" w:cs="Arial"/>
                <w:i/>
              </w:rPr>
            </w:pPr>
            <w:r>
              <w:rPr>
                <w:rFonts w:ascii="Arial" w:eastAsia="Arial" w:hAnsi="Arial" w:cs="Arial"/>
                <w:i/>
              </w:rPr>
              <w:t>Descrivere le attività principali del Comitato, la natura dei ricavi strutturali e la loro prospettiva di continuità, ai fini di una valutazione prospettica della capacità di generare risorse funzionali alla propria sussistenza per una durata superiore al periodo del finanziamento, tenuto anche conto di piani di sviluppo futuro, incertezze identificate e possibili esiti di queste ultime.</w:t>
            </w:r>
          </w:p>
        </w:tc>
      </w:tr>
      <w:tr w:rsidR="00867B1E">
        <w:tc>
          <w:tcPr>
            <w:tcW w:w="9638" w:type="dxa"/>
            <w:shd w:val="clear" w:color="auto" w:fill="auto"/>
            <w:tcMar>
              <w:top w:w="100" w:type="dxa"/>
              <w:left w:w="100" w:type="dxa"/>
              <w:bottom w:w="100" w:type="dxa"/>
              <w:right w:w="100" w:type="dxa"/>
            </w:tcMar>
          </w:tcPr>
          <w:p w:rsidR="00867B1E" w:rsidRDefault="00867B1E">
            <w:pPr>
              <w:widowControl w:val="0"/>
              <w:pBdr>
                <w:top w:val="nil"/>
                <w:left w:val="nil"/>
                <w:bottom w:val="nil"/>
                <w:right w:val="nil"/>
                <w:between w:val="nil"/>
              </w:pBdr>
              <w:spacing w:after="0" w:line="240" w:lineRule="auto"/>
              <w:rPr>
                <w:rFonts w:ascii="Arial" w:eastAsia="Arial" w:hAnsi="Arial" w:cs="Arial"/>
              </w:rPr>
            </w:pPr>
          </w:p>
        </w:tc>
      </w:tr>
    </w:tbl>
    <w:p w:rsidR="00867B1E" w:rsidRDefault="00867B1E">
      <w:pPr>
        <w:rPr>
          <w:rFonts w:ascii="Arial" w:eastAsia="Arial" w:hAnsi="Arial" w:cs="Arial"/>
        </w:rPr>
      </w:pPr>
    </w:p>
    <w:p w:rsidR="00867B1E" w:rsidRDefault="00E3534B">
      <w:pPr>
        <w:keepNext/>
        <w:keepLines/>
        <w:numPr>
          <w:ilvl w:val="0"/>
          <w:numId w:val="1"/>
        </w:numPr>
        <w:spacing w:before="280" w:after="0" w:line="240" w:lineRule="auto"/>
        <w:jc w:val="both"/>
        <w:rPr>
          <w:rFonts w:ascii="Arial" w:eastAsia="Arial" w:hAnsi="Arial" w:cs="Arial"/>
          <w:b/>
        </w:rPr>
      </w:pPr>
      <w:bookmarkStart w:id="2" w:name="_heading=h.sev7vfk968zs" w:colFirst="0" w:colLast="0"/>
      <w:bookmarkEnd w:id="2"/>
      <w:r>
        <w:rPr>
          <w:rFonts w:ascii="Arial" w:eastAsia="Arial" w:hAnsi="Arial" w:cs="Arial"/>
          <w:b/>
        </w:rPr>
        <w:t xml:space="preserve">Previsioni </w:t>
      </w:r>
      <w:r w:rsidR="0069760D">
        <w:rPr>
          <w:rFonts w:ascii="Arial" w:eastAsia="Arial" w:hAnsi="Arial" w:cs="Arial"/>
          <w:b/>
        </w:rPr>
        <w:t>triennio 2022-2024</w:t>
      </w:r>
    </w:p>
    <w:tbl>
      <w:tblPr>
        <w:tblStyle w:val="aff3"/>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67B1E">
        <w:tc>
          <w:tcPr>
            <w:tcW w:w="9638" w:type="dxa"/>
            <w:shd w:val="clear" w:color="auto" w:fill="auto"/>
            <w:tcMar>
              <w:top w:w="100" w:type="dxa"/>
              <w:left w:w="100" w:type="dxa"/>
              <w:bottom w:w="100" w:type="dxa"/>
              <w:right w:w="100" w:type="dxa"/>
            </w:tcMar>
          </w:tcPr>
          <w:p w:rsidR="00867B1E" w:rsidRDefault="00523D45">
            <w:pPr>
              <w:widowControl w:val="0"/>
              <w:spacing w:after="0" w:line="240" w:lineRule="auto"/>
              <w:jc w:val="both"/>
              <w:rPr>
                <w:rFonts w:ascii="Arial" w:eastAsia="Arial" w:hAnsi="Arial" w:cs="Arial"/>
                <w:i/>
              </w:rPr>
            </w:pPr>
            <w:sdt>
              <w:sdtPr>
                <w:tag w:val="goog_rdk_0"/>
                <w:id w:val="-217056758"/>
              </w:sdtPr>
              <w:sdtEndPr/>
              <w:sdtContent/>
            </w:sdt>
            <w:r w:rsidR="0069760D">
              <w:rPr>
                <w:rFonts w:ascii="Arial" w:eastAsia="Arial" w:hAnsi="Arial" w:cs="Arial"/>
                <w:i/>
              </w:rPr>
              <w:t>Riportare</w:t>
            </w:r>
            <w:r w:rsidR="00E3534B">
              <w:rPr>
                <w:rFonts w:ascii="Arial" w:eastAsia="Arial" w:hAnsi="Arial" w:cs="Arial"/>
                <w:i/>
              </w:rPr>
              <w:t xml:space="preserve"> le previsioni di costo e di ricavo per il triennio 2022-2024 sulla base delle informazioni disponibili e </w:t>
            </w:r>
            <w:r w:rsidR="0069760D">
              <w:rPr>
                <w:rFonts w:ascii="Arial" w:eastAsia="Arial" w:hAnsi="Arial" w:cs="Arial"/>
                <w:i/>
              </w:rPr>
              <w:t>degli elementi</w:t>
            </w:r>
            <w:r w:rsidR="006051D5">
              <w:rPr>
                <w:rFonts w:ascii="Arial" w:eastAsia="Arial" w:hAnsi="Arial" w:cs="Arial"/>
                <w:i/>
              </w:rPr>
              <w:t xml:space="preserve"> </w:t>
            </w:r>
            <w:r w:rsidR="0069760D">
              <w:rPr>
                <w:rFonts w:ascii="Arial" w:eastAsia="Arial" w:hAnsi="Arial" w:cs="Arial"/>
                <w:i/>
              </w:rPr>
              <w:t xml:space="preserve">rappresentati </w:t>
            </w:r>
            <w:r w:rsidR="00E3534B">
              <w:rPr>
                <w:rFonts w:ascii="Arial" w:eastAsia="Arial" w:hAnsi="Arial" w:cs="Arial"/>
                <w:i/>
              </w:rPr>
              <w:t>al punto precedente.</w:t>
            </w:r>
          </w:p>
        </w:tc>
      </w:tr>
    </w:tbl>
    <w:p w:rsidR="00867B1E" w:rsidRDefault="00867B1E">
      <w:pPr>
        <w:rPr>
          <w:rFonts w:ascii="Arial" w:eastAsia="Arial" w:hAnsi="Arial" w:cs="Arial"/>
        </w:rPr>
      </w:pPr>
    </w:p>
    <w:tbl>
      <w:tblPr>
        <w:tblW w:w="9634" w:type="dxa"/>
        <w:tblCellMar>
          <w:left w:w="70" w:type="dxa"/>
          <w:right w:w="70" w:type="dxa"/>
        </w:tblCellMar>
        <w:tblLook w:val="04A0" w:firstRow="1" w:lastRow="0" w:firstColumn="1" w:lastColumn="0" w:noHBand="0" w:noVBand="1"/>
      </w:tblPr>
      <w:tblGrid>
        <w:gridCol w:w="4627"/>
        <w:gridCol w:w="1669"/>
        <w:gridCol w:w="1669"/>
        <w:gridCol w:w="1669"/>
      </w:tblGrid>
      <w:tr w:rsidR="00C53A64" w:rsidRPr="00C53A64" w:rsidTr="00C53A64">
        <w:trPr>
          <w:trHeight w:val="223"/>
        </w:trPr>
        <w:tc>
          <w:tcPr>
            <w:tcW w:w="4627" w:type="dxa"/>
            <w:tcBorders>
              <w:top w:val="nil"/>
              <w:left w:val="nil"/>
              <w:bottom w:val="nil"/>
              <w:right w:val="nil"/>
            </w:tcBorders>
            <w:shd w:val="clear" w:color="auto" w:fill="auto"/>
            <w:noWrap/>
            <w:vAlign w:val="bottom"/>
            <w:hideMark/>
          </w:tcPr>
          <w:p w:rsidR="00C53A64" w:rsidRPr="00C53A64" w:rsidRDefault="00C53A64" w:rsidP="00C53A64">
            <w:pPr>
              <w:spacing w:after="0" w:line="240" w:lineRule="auto"/>
              <w:rPr>
                <w:rFonts w:ascii="Arial" w:eastAsia="Times New Roman" w:hAnsi="Arial" w:cs="Arial"/>
                <w:color w:val="000000"/>
              </w:rPr>
            </w:pPr>
            <w:r w:rsidRPr="00C53A64">
              <w:rPr>
                <w:rFonts w:ascii="Arial" w:eastAsia="Times New Roman" w:hAnsi="Arial" w:cs="Arial"/>
                <w:color w:val="000000"/>
              </w:rPr>
              <w:lastRenderedPageBreak/>
              <w:t>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b/>
                <w:bCs/>
                <w:color w:val="000000"/>
              </w:rPr>
            </w:pPr>
            <w:r w:rsidRPr="00C53A64">
              <w:rPr>
                <w:rFonts w:ascii="Arial" w:eastAsia="Times New Roman" w:hAnsi="Arial" w:cs="Arial"/>
                <w:b/>
                <w:bCs/>
                <w:color w:val="000000"/>
              </w:rPr>
              <w:t>Anno 2022</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b/>
                <w:bCs/>
                <w:color w:val="000000"/>
              </w:rPr>
            </w:pPr>
            <w:r w:rsidRPr="00C53A64">
              <w:rPr>
                <w:rFonts w:ascii="Arial" w:eastAsia="Times New Roman" w:hAnsi="Arial" w:cs="Arial"/>
                <w:b/>
                <w:bCs/>
                <w:color w:val="000000"/>
              </w:rPr>
              <w:t>Anno 2023</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b/>
                <w:bCs/>
                <w:color w:val="000000"/>
              </w:rPr>
            </w:pPr>
            <w:r w:rsidRPr="00C53A64">
              <w:rPr>
                <w:rFonts w:ascii="Arial" w:eastAsia="Times New Roman" w:hAnsi="Arial" w:cs="Arial"/>
                <w:b/>
                <w:bCs/>
                <w:color w:val="000000"/>
              </w:rPr>
              <w:t>Anno 2024</w:t>
            </w:r>
          </w:p>
        </w:tc>
      </w:tr>
      <w:tr w:rsidR="00C53A64" w:rsidRPr="00C53A64" w:rsidTr="00C53A64">
        <w:trPr>
          <w:trHeight w:val="233"/>
        </w:trPr>
        <w:tc>
          <w:tcPr>
            <w:tcW w:w="4627" w:type="dxa"/>
            <w:tcBorders>
              <w:top w:val="nil"/>
              <w:left w:val="nil"/>
              <w:bottom w:val="double" w:sz="6" w:space="0" w:color="auto"/>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b/>
                <w:bCs/>
                <w:color w:val="000000"/>
              </w:rPr>
            </w:pPr>
            <w:r w:rsidRPr="00C53A64">
              <w:rPr>
                <w:rFonts w:ascii="Arial" w:eastAsia="Times New Roman" w:hAnsi="Arial" w:cs="Arial"/>
                <w:b/>
                <w:bCs/>
                <w:color w:val="000000"/>
              </w:rPr>
              <w:t> </w:t>
            </w:r>
          </w:p>
        </w:tc>
        <w:tc>
          <w:tcPr>
            <w:tcW w:w="1669" w:type="dxa"/>
            <w:tcBorders>
              <w:top w:val="nil"/>
              <w:left w:val="nil"/>
              <w:bottom w:val="nil"/>
              <w:right w:val="nil"/>
            </w:tcBorders>
            <w:shd w:val="clear" w:color="auto" w:fill="auto"/>
            <w:noWrap/>
            <w:vAlign w:val="bottom"/>
            <w:hideMark/>
          </w:tcPr>
          <w:p w:rsidR="00C53A64" w:rsidRPr="00C53A64" w:rsidRDefault="00C53A64" w:rsidP="00C53A64">
            <w:pPr>
              <w:spacing w:after="0" w:line="240" w:lineRule="auto"/>
              <w:jc w:val="center"/>
              <w:rPr>
                <w:rFonts w:ascii="Arial" w:eastAsia="Times New Roman" w:hAnsi="Arial" w:cs="Arial"/>
                <w:b/>
                <w:bCs/>
                <w:color w:val="000000"/>
              </w:rPr>
            </w:pPr>
          </w:p>
        </w:tc>
        <w:tc>
          <w:tcPr>
            <w:tcW w:w="1669" w:type="dxa"/>
            <w:tcBorders>
              <w:top w:val="nil"/>
              <w:left w:val="nil"/>
              <w:bottom w:val="nil"/>
              <w:right w:val="nil"/>
            </w:tcBorders>
            <w:shd w:val="clear" w:color="auto" w:fill="auto"/>
            <w:noWrap/>
            <w:vAlign w:val="bottom"/>
            <w:hideMark/>
          </w:tcPr>
          <w:p w:rsidR="00C53A64" w:rsidRPr="00C53A64" w:rsidRDefault="00C53A64" w:rsidP="00C53A64">
            <w:pPr>
              <w:spacing w:after="0" w:line="240" w:lineRule="auto"/>
              <w:jc w:val="center"/>
              <w:rPr>
                <w:rFonts w:ascii="Times New Roman" w:eastAsia="Times New Roman" w:hAnsi="Times New Roman" w:cs="Times New Roman"/>
                <w:sz w:val="20"/>
                <w:szCs w:val="20"/>
              </w:rPr>
            </w:pPr>
          </w:p>
        </w:tc>
        <w:tc>
          <w:tcPr>
            <w:tcW w:w="1669" w:type="dxa"/>
            <w:tcBorders>
              <w:top w:val="nil"/>
              <w:left w:val="nil"/>
              <w:bottom w:val="nil"/>
              <w:right w:val="nil"/>
            </w:tcBorders>
            <w:shd w:val="clear" w:color="auto" w:fill="auto"/>
            <w:noWrap/>
            <w:vAlign w:val="bottom"/>
            <w:hideMark/>
          </w:tcPr>
          <w:p w:rsidR="00C53A64" w:rsidRPr="00C53A64" w:rsidRDefault="00C53A64" w:rsidP="00C53A64">
            <w:pPr>
              <w:spacing w:after="0" w:line="240" w:lineRule="auto"/>
              <w:jc w:val="center"/>
              <w:rPr>
                <w:rFonts w:ascii="Times New Roman" w:eastAsia="Times New Roman" w:hAnsi="Times New Roman" w:cs="Times New Roman"/>
                <w:sz w:val="20"/>
                <w:szCs w:val="20"/>
              </w:rPr>
            </w:pPr>
          </w:p>
        </w:tc>
      </w:tr>
      <w:tr w:rsidR="00C53A64" w:rsidRPr="00C53A64" w:rsidTr="00C53A64">
        <w:trPr>
          <w:trHeight w:val="242"/>
        </w:trPr>
        <w:tc>
          <w:tcPr>
            <w:tcW w:w="4627" w:type="dxa"/>
            <w:tcBorders>
              <w:top w:val="nil"/>
              <w:left w:val="nil"/>
              <w:bottom w:val="double" w:sz="6" w:space="0" w:color="auto"/>
              <w:right w:val="nil"/>
            </w:tcBorders>
            <w:shd w:val="clear" w:color="FFFFFF" w:fill="FFFFFF"/>
            <w:vAlign w:val="center"/>
            <w:hideMark/>
          </w:tcPr>
          <w:p w:rsidR="00C53A64" w:rsidRPr="00C53A64" w:rsidRDefault="00285E08" w:rsidP="00C53A64">
            <w:pPr>
              <w:spacing w:after="0" w:line="240" w:lineRule="auto"/>
              <w:rPr>
                <w:rFonts w:ascii="Arial" w:eastAsia="Times New Roman" w:hAnsi="Arial" w:cs="Arial"/>
                <w:b/>
                <w:bCs/>
                <w:color w:val="000000"/>
              </w:rPr>
            </w:pPr>
            <w:r>
              <w:rPr>
                <w:rFonts w:ascii="Arial" w:eastAsia="Times New Roman" w:hAnsi="Arial" w:cs="Arial"/>
                <w:b/>
                <w:bCs/>
                <w:color w:val="000000"/>
              </w:rPr>
              <w:t>Totale dei ricavi</w:t>
            </w:r>
          </w:p>
        </w:tc>
        <w:tc>
          <w:tcPr>
            <w:tcW w:w="1669" w:type="dxa"/>
            <w:tcBorders>
              <w:top w:val="double" w:sz="6" w:space="0" w:color="auto"/>
              <w:left w:val="nil"/>
              <w:bottom w:val="double" w:sz="6" w:space="0" w:color="auto"/>
              <w:right w:val="nil"/>
            </w:tcBorders>
            <w:shd w:val="clear" w:color="auto" w:fill="auto"/>
            <w:noWrap/>
            <w:vAlign w:val="bottom"/>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double" w:sz="6" w:space="0" w:color="auto"/>
              <w:left w:val="nil"/>
              <w:bottom w:val="double" w:sz="6" w:space="0" w:color="auto"/>
              <w:right w:val="nil"/>
            </w:tcBorders>
            <w:shd w:val="clear" w:color="auto" w:fill="auto"/>
            <w:noWrap/>
            <w:vAlign w:val="bottom"/>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double" w:sz="6" w:space="0" w:color="auto"/>
              <w:left w:val="nil"/>
              <w:bottom w:val="double" w:sz="6" w:space="0" w:color="auto"/>
              <w:right w:val="nil"/>
            </w:tcBorders>
            <w:shd w:val="clear" w:color="auto" w:fill="auto"/>
            <w:noWrap/>
            <w:vAlign w:val="bottom"/>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r>
      <w:tr w:rsidR="00C53A64" w:rsidRPr="00C53A64" w:rsidTr="00C53A64">
        <w:trPr>
          <w:trHeight w:val="252"/>
        </w:trPr>
        <w:tc>
          <w:tcPr>
            <w:tcW w:w="4627" w:type="dxa"/>
            <w:tcBorders>
              <w:top w:val="nil"/>
              <w:left w:val="nil"/>
              <w:bottom w:val="single" w:sz="8" w:space="0" w:color="auto"/>
              <w:right w:val="nil"/>
            </w:tcBorders>
            <w:shd w:val="clear" w:color="auto" w:fill="auto"/>
            <w:vAlign w:val="center"/>
            <w:hideMark/>
          </w:tcPr>
          <w:p w:rsidR="00C53A64" w:rsidRPr="00C53A64" w:rsidRDefault="00C53A64" w:rsidP="00C53A64">
            <w:pPr>
              <w:spacing w:after="0" w:line="240" w:lineRule="auto"/>
              <w:rPr>
                <w:rFonts w:ascii="Arial" w:eastAsia="Times New Roman" w:hAnsi="Arial" w:cs="Arial"/>
                <w:i/>
                <w:iCs/>
                <w:color w:val="000000"/>
              </w:rPr>
            </w:pPr>
            <w:r w:rsidRPr="00C53A64">
              <w:rPr>
                <w:rFonts w:ascii="Arial" w:eastAsia="Times New Roman" w:hAnsi="Arial" w:cs="Arial"/>
                <w:i/>
                <w:iCs/>
                <w:color w:val="000000"/>
              </w:rPr>
              <w:t> </w:t>
            </w:r>
          </w:p>
        </w:tc>
        <w:tc>
          <w:tcPr>
            <w:tcW w:w="1669" w:type="dxa"/>
            <w:tcBorders>
              <w:top w:val="nil"/>
              <w:left w:val="nil"/>
              <w:bottom w:val="single" w:sz="8" w:space="0" w:color="auto"/>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 </w:t>
            </w:r>
          </w:p>
        </w:tc>
        <w:tc>
          <w:tcPr>
            <w:tcW w:w="1669" w:type="dxa"/>
            <w:tcBorders>
              <w:top w:val="nil"/>
              <w:left w:val="nil"/>
              <w:bottom w:val="single" w:sz="8" w:space="0" w:color="auto"/>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 </w:t>
            </w:r>
          </w:p>
        </w:tc>
        <w:tc>
          <w:tcPr>
            <w:tcW w:w="1669" w:type="dxa"/>
            <w:tcBorders>
              <w:top w:val="nil"/>
              <w:left w:val="nil"/>
              <w:bottom w:val="single" w:sz="8" w:space="0" w:color="auto"/>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 </w:t>
            </w:r>
          </w:p>
        </w:tc>
      </w:tr>
      <w:tr w:rsidR="00C53A64" w:rsidRPr="00C53A64" w:rsidTr="00C53A64">
        <w:trPr>
          <w:trHeight w:val="233"/>
        </w:trPr>
        <w:tc>
          <w:tcPr>
            <w:tcW w:w="4627" w:type="dxa"/>
            <w:tcBorders>
              <w:top w:val="nil"/>
              <w:left w:val="nil"/>
              <w:bottom w:val="single" w:sz="4" w:space="0" w:color="auto"/>
              <w:right w:val="nil"/>
            </w:tcBorders>
            <w:shd w:val="clear" w:color="auto" w:fill="auto"/>
            <w:vAlign w:val="center"/>
            <w:hideMark/>
          </w:tcPr>
          <w:p w:rsidR="00C53A64" w:rsidRPr="00C53A64" w:rsidRDefault="00C53A64" w:rsidP="00C53A64">
            <w:pPr>
              <w:spacing w:after="0" w:line="240" w:lineRule="auto"/>
              <w:rPr>
                <w:rFonts w:ascii="Arial" w:eastAsia="Times New Roman" w:hAnsi="Arial" w:cs="Arial"/>
                <w:i/>
                <w:iCs/>
                <w:color w:val="000000"/>
              </w:rPr>
            </w:pPr>
            <w:r w:rsidRPr="00C53A64">
              <w:rPr>
                <w:rFonts w:ascii="Arial" w:eastAsia="Times New Roman" w:hAnsi="Arial" w:cs="Arial"/>
                <w:i/>
                <w:iCs/>
                <w:color w:val="000000"/>
              </w:rPr>
              <w:t xml:space="preserve">Ricavi delle vendite e delle prestazioni </w:t>
            </w:r>
          </w:p>
        </w:tc>
        <w:tc>
          <w:tcPr>
            <w:tcW w:w="1669" w:type="dxa"/>
            <w:tcBorders>
              <w:top w:val="nil"/>
              <w:left w:val="nil"/>
              <w:bottom w:val="single" w:sz="4" w:space="0" w:color="auto"/>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single" w:sz="4" w:space="0" w:color="auto"/>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single" w:sz="4" w:space="0" w:color="auto"/>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r>
      <w:tr w:rsidR="00C53A64" w:rsidRPr="00C53A64" w:rsidTr="00C53A64">
        <w:trPr>
          <w:trHeight w:val="233"/>
        </w:trPr>
        <w:tc>
          <w:tcPr>
            <w:tcW w:w="4627"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right"/>
              <w:rPr>
                <w:rFonts w:ascii="Arial" w:eastAsia="Times New Roman" w:hAnsi="Arial" w:cs="Arial"/>
                <w:i/>
                <w:iCs/>
                <w:color w:val="000000"/>
              </w:rPr>
            </w:pPr>
            <w:r w:rsidRPr="00C53A64">
              <w:rPr>
                <w:rFonts w:ascii="Arial" w:eastAsia="Times New Roman" w:hAnsi="Arial" w:cs="Arial"/>
                <w:i/>
                <w:iCs/>
                <w:color w:val="000000"/>
              </w:rPr>
              <w:t xml:space="preserve">di cui Quote associative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r>
      <w:tr w:rsidR="00C53A64" w:rsidRPr="00C53A64" w:rsidTr="00C53A64">
        <w:trPr>
          <w:trHeight w:val="233"/>
        </w:trPr>
        <w:tc>
          <w:tcPr>
            <w:tcW w:w="4627"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right"/>
              <w:rPr>
                <w:rFonts w:ascii="Arial" w:eastAsia="Times New Roman" w:hAnsi="Arial" w:cs="Arial"/>
                <w:i/>
                <w:iCs/>
                <w:color w:val="000000"/>
              </w:rPr>
            </w:pPr>
            <w:r w:rsidRPr="00C53A64">
              <w:rPr>
                <w:rFonts w:ascii="Arial" w:eastAsia="Times New Roman" w:hAnsi="Arial" w:cs="Arial"/>
                <w:i/>
                <w:iCs/>
                <w:color w:val="000000"/>
              </w:rPr>
              <w:t>di cui Servizi di assistenza socio sanitaria con P.A.</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r>
      <w:tr w:rsidR="00C53A64" w:rsidRPr="00C53A64" w:rsidTr="00C53A64">
        <w:trPr>
          <w:trHeight w:val="233"/>
        </w:trPr>
        <w:tc>
          <w:tcPr>
            <w:tcW w:w="4627"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right"/>
              <w:rPr>
                <w:rFonts w:ascii="Arial" w:eastAsia="Times New Roman" w:hAnsi="Arial" w:cs="Arial"/>
                <w:i/>
                <w:iCs/>
                <w:color w:val="000000"/>
              </w:rPr>
            </w:pPr>
            <w:r w:rsidRPr="00C53A64">
              <w:rPr>
                <w:rFonts w:ascii="Arial" w:eastAsia="Times New Roman" w:hAnsi="Arial" w:cs="Arial"/>
                <w:i/>
                <w:iCs/>
                <w:color w:val="000000"/>
              </w:rPr>
              <w:t>di cui Servizi di assistenza socio sanitaria non P.A.</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r>
      <w:tr w:rsidR="00C53A64" w:rsidRPr="00C53A64" w:rsidTr="00C53A64">
        <w:trPr>
          <w:trHeight w:val="233"/>
        </w:trPr>
        <w:tc>
          <w:tcPr>
            <w:tcW w:w="4627"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right"/>
              <w:rPr>
                <w:rFonts w:ascii="Arial" w:eastAsia="Times New Roman" w:hAnsi="Arial" w:cs="Arial"/>
                <w:i/>
                <w:iCs/>
                <w:color w:val="000000"/>
              </w:rPr>
            </w:pPr>
            <w:r w:rsidRPr="00C53A64">
              <w:rPr>
                <w:rFonts w:ascii="Arial" w:eastAsia="Times New Roman" w:hAnsi="Arial" w:cs="Arial"/>
                <w:i/>
                <w:iCs/>
                <w:color w:val="000000"/>
              </w:rPr>
              <w:t>di cui Servizi di pronto soccorso e trasporto infermi con P.A.</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r>
      <w:tr w:rsidR="00C53A64" w:rsidRPr="00C53A64" w:rsidTr="00C53A64">
        <w:trPr>
          <w:trHeight w:val="233"/>
        </w:trPr>
        <w:tc>
          <w:tcPr>
            <w:tcW w:w="4627"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right"/>
              <w:rPr>
                <w:rFonts w:ascii="Arial" w:eastAsia="Times New Roman" w:hAnsi="Arial" w:cs="Arial"/>
                <w:i/>
                <w:iCs/>
                <w:color w:val="000000"/>
              </w:rPr>
            </w:pPr>
            <w:r w:rsidRPr="00C53A64">
              <w:rPr>
                <w:rFonts w:ascii="Arial" w:eastAsia="Times New Roman" w:hAnsi="Arial" w:cs="Arial"/>
                <w:i/>
                <w:iCs/>
                <w:color w:val="000000"/>
              </w:rPr>
              <w:t>di cui Servizi di pronto soccorso e trasporto infermi non P.A.</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r>
      <w:tr w:rsidR="00C53A64" w:rsidRPr="00C53A64" w:rsidTr="00C53A64">
        <w:trPr>
          <w:trHeight w:val="233"/>
        </w:trPr>
        <w:tc>
          <w:tcPr>
            <w:tcW w:w="4627"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right"/>
              <w:rPr>
                <w:rFonts w:ascii="Arial" w:eastAsia="Times New Roman" w:hAnsi="Arial" w:cs="Arial"/>
                <w:i/>
                <w:iCs/>
                <w:color w:val="000000"/>
              </w:rPr>
            </w:pPr>
            <w:r w:rsidRPr="00C53A64">
              <w:rPr>
                <w:rFonts w:ascii="Arial" w:eastAsia="Times New Roman" w:hAnsi="Arial" w:cs="Arial"/>
                <w:i/>
                <w:iCs/>
                <w:color w:val="000000"/>
              </w:rPr>
              <w:t xml:space="preserve">di cui Promozione raccolta sangue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r>
      <w:tr w:rsidR="00C53A64" w:rsidRPr="00C53A64" w:rsidTr="00C53A64">
        <w:trPr>
          <w:trHeight w:val="233"/>
        </w:trPr>
        <w:tc>
          <w:tcPr>
            <w:tcW w:w="4627"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right"/>
              <w:rPr>
                <w:rFonts w:ascii="Arial" w:eastAsia="Times New Roman" w:hAnsi="Arial" w:cs="Arial"/>
                <w:i/>
                <w:iCs/>
                <w:color w:val="000000"/>
              </w:rPr>
            </w:pPr>
            <w:r w:rsidRPr="00C53A64">
              <w:rPr>
                <w:rFonts w:ascii="Arial" w:eastAsia="Times New Roman" w:hAnsi="Arial" w:cs="Arial"/>
                <w:i/>
                <w:iCs/>
                <w:color w:val="000000"/>
              </w:rPr>
              <w:t xml:space="preserve">di cui Formazione e corsi interni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r>
      <w:tr w:rsidR="00C53A64" w:rsidRPr="00C53A64" w:rsidTr="00C53A64">
        <w:trPr>
          <w:trHeight w:val="233"/>
        </w:trPr>
        <w:tc>
          <w:tcPr>
            <w:tcW w:w="4627"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right"/>
              <w:rPr>
                <w:rFonts w:ascii="Arial" w:eastAsia="Times New Roman" w:hAnsi="Arial" w:cs="Arial"/>
                <w:i/>
                <w:iCs/>
                <w:color w:val="000000"/>
              </w:rPr>
            </w:pPr>
            <w:r w:rsidRPr="00C53A64">
              <w:rPr>
                <w:rFonts w:ascii="Arial" w:eastAsia="Times New Roman" w:hAnsi="Arial" w:cs="Arial"/>
                <w:i/>
                <w:iCs/>
                <w:color w:val="000000"/>
              </w:rPr>
              <w:t xml:space="preserve">di cui Formazione e corsi v/terzi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r>
      <w:tr w:rsidR="00C53A64" w:rsidRPr="00C53A64" w:rsidTr="00C53A64">
        <w:trPr>
          <w:trHeight w:val="233"/>
        </w:trPr>
        <w:tc>
          <w:tcPr>
            <w:tcW w:w="4627" w:type="dxa"/>
            <w:tcBorders>
              <w:top w:val="nil"/>
              <w:left w:val="nil"/>
              <w:bottom w:val="single" w:sz="4" w:space="0" w:color="auto"/>
              <w:right w:val="nil"/>
            </w:tcBorders>
            <w:shd w:val="clear" w:color="auto" w:fill="auto"/>
            <w:vAlign w:val="center"/>
            <w:hideMark/>
          </w:tcPr>
          <w:p w:rsidR="00C53A64" w:rsidRPr="00C53A64" w:rsidRDefault="00C53A64" w:rsidP="00C53A64">
            <w:pPr>
              <w:spacing w:after="0" w:line="240" w:lineRule="auto"/>
              <w:jc w:val="right"/>
              <w:rPr>
                <w:rFonts w:ascii="Arial" w:eastAsia="Times New Roman" w:hAnsi="Arial" w:cs="Arial"/>
                <w:i/>
                <w:iCs/>
                <w:color w:val="000000"/>
              </w:rPr>
            </w:pPr>
            <w:r w:rsidRPr="00C53A64">
              <w:rPr>
                <w:rFonts w:ascii="Arial" w:eastAsia="Times New Roman" w:hAnsi="Arial" w:cs="Arial"/>
                <w:i/>
                <w:iCs/>
                <w:color w:val="000000"/>
              </w:rPr>
              <w:t xml:space="preserve">di cui Raccolta fondi </w:t>
            </w:r>
          </w:p>
        </w:tc>
        <w:tc>
          <w:tcPr>
            <w:tcW w:w="1669" w:type="dxa"/>
            <w:tcBorders>
              <w:top w:val="nil"/>
              <w:left w:val="nil"/>
              <w:bottom w:val="single" w:sz="4" w:space="0" w:color="auto"/>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single" w:sz="4" w:space="0" w:color="auto"/>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single" w:sz="4" w:space="0" w:color="auto"/>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r>
      <w:tr w:rsidR="00C53A64" w:rsidRPr="00C53A64" w:rsidTr="00C53A64">
        <w:trPr>
          <w:trHeight w:val="242"/>
        </w:trPr>
        <w:tc>
          <w:tcPr>
            <w:tcW w:w="4627" w:type="dxa"/>
            <w:tcBorders>
              <w:top w:val="nil"/>
              <w:left w:val="nil"/>
              <w:bottom w:val="single" w:sz="8" w:space="0" w:color="auto"/>
              <w:right w:val="nil"/>
            </w:tcBorders>
            <w:shd w:val="clear" w:color="auto" w:fill="auto"/>
            <w:vAlign w:val="center"/>
            <w:hideMark/>
          </w:tcPr>
          <w:p w:rsidR="00C53A64" w:rsidRPr="00C53A64" w:rsidRDefault="00C53A64" w:rsidP="00C53A64">
            <w:pPr>
              <w:spacing w:after="0" w:line="240" w:lineRule="auto"/>
              <w:rPr>
                <w:rFonts w:ascii="Arial" w:eastAsia="Times New Roman" w:hAnsi="Arial" w:cs="Arial"/>
                <w:i/>
                <w:iCs/>
                <w:color w:val="000000"/>
              </w:rPr>
            </w:pPr>
            <w:r w:rsidRPr="00C53A64">
              <w:rPr>
                <w:rFonts w:ascii="Arial" w:eastAsia="Times New Roman" w:hAnsi="Arial" w:cs="Arial"/>
                <w:i/>
                <w:iCs/>
                <w:color w:val="000000"/>
              </w:rPr>
              <w:t>Altri ricavi</w:t>
            </w:r>
          </w:p>
        </w:tc>
        <w:tc>
          <w:tcPr>
            <w:tcW w:w="1669" w:type="dxa"/>
            <w:tcBorders>
              <w:top w:val="nil"/>
              <w:left w:val="nil"/>
              <w:bottom w:val="single" w:sz="8" w:space="0" w:color="auto"/>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single" w:sz="8" w:space="0" w:color="auto"/>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nil"/>
              <w:left w:val="nil"/>
              <w:bottom w:val="single" w:sz="8" w:space="0" w:color="auto"/>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r>
      <w:tr w:rsidR="00C53A64" w:rsidRPr="00C53A64" w:rsidTr="00C53A64">
        <w:trPr>
          <w:trHeight w:val="233"/>
        </w:trPr>
        <w:tc>
          <w:tcPr>
            <w:tcW w:w="4627" w:type="dxa"/>
            <w:tcBorders>
              <w:top w:val="nil"/>
              <w:left w:val="nil"/>
              <w:bottom w:val="nil"/>
              <w:right w:val="nil"/>
            </w:tcBorders>
            <w:shd w:val="clear" w:color="FFFFFF" w:fill="FFFFFF"/>
            <w:vAlign w:val="center"/>
            <w:hideMark/>
          </w:tcPr>
          <w:p w:rsidR="00C53A64" w:rsidRPr="00C53A64" w:rsidRDefault="00C53A64" w:rsidP="00C53A64">
            <w:pPr>
              <w:spacing w:after="0" w:line="240" w:lineRule="auto"/>
              <w:rPr>
                <w:rFonts w:ascii="Arial" w:eastAsia="Times New Roman" w:hAnsi="Arial" w:cs="Arial"/>
                <w:b/>
                <w:bCs/>
                <w:color w:val="000000"/>
              </w:rPr>
            </w:pPr>
            <w:r w:rsidRPr="00C53A64">
              <w:rPr>
                <w:rFonts w:ascii="Arial" w:eastAsia="Times New Roman" w:hAnsi="Arial" w:cs="Arial"/>
                <w:b/>
                <w:bCs/>
                <w:color w:val="000000"/>
              </w:rPr>
              <w:t> </w:t>
            </w:r>
          </w:p>
        </w:tc>
        <w:tc>
          <w:tcPr>
            <w:tcW w:w="1669" w:type="dxa"/>
            <w:tcBorders>
              <w:top w:val="nil"/>
              <w:left w:val="nil"/>
              <w:bottom w:val="nil"/>
              <w:right w:val="nil"/>
            </w:tcBorders>
            <w:shd w:val="clear" w:color="auto" w:fill="auto"/>
            <w:noWrap/>
            <w:vAlign w:val="bottom"/>
            <w:hideMark/>
          </w:tcPr>
          <w:p w:rsidR="00C53A64" w:rsidRPr="00C53A64" w:rsidRDefault="00C53A64" w:rsidP="00C53A64">
            <w:pPr>
              <w:spacing w:after="0" w:line="240" w:lineRule="auto"/>
              <w:rPr>
                <w:rFonts w:ascii="Arial" w:eastAsia="Times New Roman" w:hAnsi="Arial" w:cs="Arial"/>
                <w:b/>
                <w:bCs/>
                <w:color w:val="000000"/>
              </w:rPr>
            </w:pPr>
          </w:p>
        </w:tc>
        <w:tc>
          <w:tcPr>
            <w:tcW w:w="1669" w:type="dxa"/>
            <w:tcBorders>
              <w:top w:val="nil"/>
              <w:left w:val="nil"/>
              <w:bottom w:val="nil"/>
              <w:right w:val="nil"/>
            </w:tcBorders>
            <w:shd w:val="clear" w:color="auto" w:fill="auto"/>
            <w:noWrap/>
            <w:vAlign w:val="bottom"/>
            <w:hideMark/>
          </w:tcPr>
          <w:p w:rsidR="00C53A64" w:rsidRPr="00C53A64" w:rsidRDefault="00C53A64" w:rsidP="00C53A64">
            <w:pPr>
              <w:spacing w:after="0" w:line="240" w:lineRule="auto"/>
              <w:jc w:val="center"/>
              <w:rPr>
                <w:rFonts w:ascii="Times New Roman" w:eastAsia="Times New Roman" w:hAnsi="Times New Roman" w:cs="Times New Roman"/>
                <w:sz w:val="20"/>
                <w:szCs w:val="20"/>
              </w:rPr>
            </w:pPr>
          </w:p>
        </w:tc>
        <w:tc>
          <w:tcPr>
            <w:tcW w:w="1669" w:type="dxa"/>
            <w:tcBorders>
              <w:top w:val="nil"/>
              <w:left w:val="nil"/>
              <w:bottom w:val="nil"/>
              <w:right w:val="nil"/>
            </w:tcBorders>
            <w:shd w:val="clear" w:color="auto" w:fill="auto"/>
            <w:noWrap/>
            <w:vAlign w:val="bottom"/>
            <w:hideMark/>
          </w:tcPr>
          <w:p w:rsidR="00C53A64" w:rsidRPr="00C53A64" w:rsidRDefault="00C53A64" w:rsidP="00C53A64">
            <w:pPr>
              <w:spacing w:after="0" w:line="240" w:lineRule="auto"/>
              <w:jc w:val="center"/>
              <w:rPr>
                <w:rFonts w:ascii="Times New Roman" w:eastAsia="Times New Roman" w:hAnsi="Times New Roman" w:cs="Times New Roman"/>
                <w:sz w:val="20"/>
                <w:szCs w:val="20"/>
              </w:rPr>
            </w:pPr>
          </w:p>
        </w:tc>
      </w:tr>
      <w:tr w:rsidR="00C53A64" w:rsidRPr="00C53A64" w:rsidTr="00C53A64">
        <w:trPr>
          <w:trHeight w:val="242"/>
        </w:trPr>
        <w:tc>
          <w:tcPr>
            <w:tcW w:w="4627" w:type="dxa"/>
            <w:tcBorders>
              <w:top w:val="double" w:sz="6" w:space="0" w:color="auto"/>
              <w:left w:val="nil"/>
              <w:bottom w:val="double" w:sz="6" w:space="0" w:color="auto"/>
              <w:right w:val="nil"/>
            </w:tcBorders>
            <w:shd w:val="clear" w:color="auto" w:fill="auto"/>
            <w:vAlign w:val="center"/>
            <w:hideMark/>
          </w:tcPr>
          <w:p w:rsidR="00C53A64" w:rsidRPr="00C53A64" w:rsidRDefault="00C53A64" w:rsidP="00C53A64">
            <w:pPr>
              <w:spacing w:after="0" w:line="240" w:lineRule="auto"/>
              <w:rPr>
                <w:rFonts w:ascii="Arial" w:eastAsia="Times New Roman" w:hAnsi="Arial" w:cs="Arial"/>
                <w:b/>
                <w:bCs/>
                <w:color w:val="000000"/>
              </w:rPr>
            </w:pPr>
            <w:r w:rsidRPr="00C53A64">
              <w:rPr>
                <w:rFonts w:ascii="Arial" w:eastAsia="Times New Roman" w:hAnsi="Arial" w:cs="Arial"/>
                <w:b/>
                <w:bCs/>
                <w:color w:val="000000"/>
              </w:rPr>
              <w:t>Totale dei costi</w:t>
            </w:r>
          </w:p>
        </w:tc>
        <w:tc>
          <w:tcPr>
            <w:tcW w:w="1669" w:type="dxa"/>
            <w:tcBorders>
              <w:top w:val="double" w:sz="6" w:space="0" w:color="auto"/>
              <w:left w:val="nil"/>
              <w:bottom w:val="double" w:sz="6" w:space="0" w:color="auto"/>
              <w:right w:val="nil"/>
            </w:tcBorders>
            <w:shd w:val="clear" w:color="auto" w:fill="auto"/>
            <w:noWrap/>
            <w:vAlign w:val="bottom"/>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double" w:sz="6" w:space="0" w:color="auto"/>
              <w:left w:val="nil"/>
              <w:bottom w:val="double" w:sz="6" w:space="0" w:color="auto"/>
              <w:right w:val="nil"/>
            </w:tcBorders>
            <w:shd w:val="clear" w:color="auto" w:fill="auto"/>
            <w:noWrap/>
            <w:vAlign w:val="bottom"/>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double" w:sz="6" w:space="0" w:color="auto"/>
              <w:left w:val="nil"/>
              <w:bottom w:val="double" w:sz="6" w:space="0" w:color="auto"/>
              <w:right w:val="nil"/>
            </w:tcBorders>
            <w:shd w:val="clear" w:color="auto" w:fill="auto"/>
            <w:noWrap/>
            <w:vAlign w:val="bottom"/>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r>
      <w:tr w:rsidR="00C53A64" w:rsidRPr="00C53A64" w:rsidTr="00C53A64">
        <w:trPr>
          <w:trHeight w:val="242"/>
        </w:trPr>
        <w:tc>
          <w:tcPr>
            <w:tcW w:w="4627"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b/>
                <w:bCs/>
                <w:color w:val="000000"/>
              </w:rPr>
            </w:pPr>
            <w:r w:rsidRPr="00C53A64">
              <w:rPr>
                <w:rFonts w:ascii="Arial" w:eastAsia="Times New Roman" w:hAnsi="Arial" w:cs="Arial"/>
                <w:b/>
                <w:bCs/>
                <w:color w:val="000000"/>
              </w:rPr>
              <w:t>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b/>
                <w:bCs/>
                <w:color w:val="000000"/>
              </w:rPr>
            </w:pPr>
            <w:r w:rsidRPr="00C53A64">
              <w:rPr>
                <w:rFonts w:ascii="Arial" w:eastAsia="Times New Roman" w:hAnsi="Arial" w:cs="Arial"/>
                <w:b/>
                <w:bCs/>
                <w:color w:val="000000"/>
              </w:rPr>
              <w:t>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b/>
                <w:bCs/>
                <w:color w:val="000000"/>
              </w:rPr>
            </w:pPr>
            <w:r w:rsidRPr="00C53A64">
              <w:rPr>
                <w:rFonts w:ascii="Arial" w:eastAsia="Times New Roman" w:hAnsi="Arial" w:cs="Arial"/>
                <w:b/>
                <w:bCs/>
                <w:color w:val="000000"/>
              </w:rPr>
              <w:t> </w:t>
            </w:r>
          </w:p>
        </w:tc>
        <w:tc>
          <w:tcPr>
            <w:tcW w:w="1669" w:type="dxa"/>
            <w:tcBorders>
              <w:top w:val="nil"/>
              <w:left w:val="nil"/>
              <w:bottom w:val="nil"/>
              <w:right w:val="nil"/>
            </w:tcBorders>
            <w:shd w:val="clear" w:color="auto" w:fill="auto"/>
            <w:vAlign w:val="center"/>
            <w:hideMark/>
          </w:tcPr>
          <w:p w:rsidR="00C53A64" w:rsidRPr="00C53A64" w:rsidRDefault="00C53A64" w:rsidP="00C53A64">
            <w:pPr>
              <w:spacing w:after="0" w:line="240" w:lineRule="auto"/>
              <w:jc w:val="center"/>
              <w:rPr>
                <w:rFonts w:ascii="Arial" w:eastAsia="Times New Roman" w:hAnsi="Arial" w:cs="Arial"/>
                <w:b/>
                <w:bCs/>
                <w:color w:val="000000"/>
              </w:rPr>
            </w:pPr>
            <w:r w:rsidRPr="00C53A64">
              <w:rPr>
                <w:rFonts w:ascii="Arial" w:eastAsia="Times New Roman" w:hAnsi="Arial" w:cs="Arial"/>
                <w:b/>
                <w:bCs/>
                <w:color w:val="000000"/>
              </w:rPr>
              <w:t> </w:t>
            </w:r>
          </w:p>
        </w:tc>
      </w:tr>
      <w:tr w:rsidR="00C53A64" w:rsidRPr="00C53A64" w:rsidTr="00C53A64">
        <w:trPr>
          <w:trHeight w:val="242"/>
        </w:trPr>
        <w:tc>
          <w:tcPr>
            <w:tcW w:w="4627" w:type="dxa"/>
            <w:tcBorders>
              <w:top w:val="double" w:sz="6" w:space="0" w:color="auto"/>
              <w:left w:val="nil"/>
              <w:bottom w:val="double" w:sz="6" w:space="0" w:color="auto"/>
              <w:right w:val="nil"/>
            </w:tcBorders>
            <w:shd w:val="clear" w:color="auto" w:fill="auto"/>
            <w:vAlign w:val="center"/>
            <w:hideMark/>
          </w:tcPr>
          <w:p w:rsidR="00C53A64" w:rsidRPr="00C53A64" w:rsidRDefault="00285E08" w:rsidP="00C53A64">
            <w:pPr>
              <w:spacing w:after="0" w:line="240" w:lineRule="auto"/>
              <w:rPr>
                <w:rFonts w:ascii="Arial" w:eastAsia="Times New Roman" w:hAnsi="Arial" w:cs="Arial"/>
                <w:b/>
                <w:bCs/>
                <w:color w:val="000000"/>
              </w:rPr>
            </w:pPr>
            <w:r>
              <w:rPr>
                <w:rFonts w:ascii="Arial" w:eastAsia="Times New Roman" w:hAnsi="Arial" w:cs="Arial"/>
                <w:b/>
                <w:bCs/>
                <w:color w:val="000000"/>
              </w:rPr>
              <w:t>Avanzo/disavanzo</w:t>
            </w:r>
            <w:bookmarkStart w:id="3" w:name="_GoBack"/>
            <w:bookmarkEnd w:id="3"/>
          </w:p>
        </w:tc>
        <w:tc>
          <w:tcPr>
            <w:tcW w:w="1669" w:type="dxa"/>
            <w:tcBorders>
              <w:top w:val="double" w:sz="6" w:space="0" w:color="auto"/>
              <w:left w:val="nil"/>
              <w:bottom w:val="double" w:sz="6" w:space="0" w:color="auto"/>
              <w:right w:val="nil"/>
            </w:tcBorders>
            <w:shd w:val="clear" w:color="auto" w:fill="auto"/>
            <w:noWrap/>
            <w:vAlign w:val="bottom"/>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double" w:sz="6" w:space="0" w:color="auto"/>
              <w:left w:val="nil"/>
              <w:bottom w:val="double" w:sz="6" w:space="0" w:color="auto"/>
              <w:right w:val="nil"/>
            </w:tcBorders>
            <w:shd w:val="clear" w:color="auto" w:fill="auto"/>
            <w:noWrap/>
            <w:vAlign w:val="bottom"/>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c>
          <w:tcPr>
            <w:tcW w:w="1669" w:type="dxa"/>
            <w:tcBorders>
              <w:top w:val="double" w:sz="6" w:space="0" w:color="auto"/>
              <w:left w:val="nil"/>
              <w:bottom w:val="double" w:sz="6" w:space="0" w:color="auto"/>
              <w:right w:val="nil"/>
            </w:tcBorders>
            <w:shd w:val="clear" w:color="auto" w:fill="auto"/>
            <w:noWrap/>
            <w:vAlign w:val="bottom"/>
            <w:hideMark/>
          </w:tcPr>
          <w:p w:rsidR="00C53A64" w:rsidRPr="00C53A64" w:rsidRDefault="00C53A64" w:rsidP="00C53A64">
            <w:pPr>
              <w:spacing w:after="0" w:line="240" w:lineRule="auto"/>
              <w:jc w:val="center"/>
              <w:rPr>
                <w:rFonts w:ascii="Arial" w:eastAsia="Times New Roman" w:hAnsi="Arial" w:cs="Arial"/>
                <w:color w:val="000000"/>
              </w:rPr>
            </w:pPr>
            <w:r w:rsidRPr="00C53A64">
              <w:rPr>
                <w:rFonts w:ascii="Arial" w:eastAsia="Times New Roman" w:hAnsi="Arial" w:cs="Arial"/>
                <w:color w:val="000000"/>
              </w:rPr>
              <w:t>0,00 €</w:t>
            </w:r>
          </w:p>
        </w:tc>
      </w:tr>
    </w:tbl>
    <w:p w:rsidR="00C53A64" w:rsidRDefault="00C53A64">
      <w:pPr>
        <w:rPr>
          <w:rFonts w:ascii="Arial" w:eastAsia="Arial" w:hAnsi="Arial" w:cs="Arial"/>
        </w:rPr>
      </w:pPr>
    </w:p>
    <w:p w:rsidR="00867B1E" w:rsidRDefault="003C7FBB">
      <w:pPr>
        <w:keepNext/>
        <w:keepLines/>
        <w:numPr>
          <w:ilvl w:val="0"/>
          <w:numId w:val="1"/>
        </w:numPr>
        <w:pBdr>
          <w:top w:val="nil"/>
          <w:left w:val="nil"/>
          <w:bottom w:val="nil"/>
          <w:right w:val="nil"/>
          <w:between w:val="nil"/>
        </w:pBdr>
        <w:spacing w:before="280" w:after="0" w:line="240" w:lineRule="auto"/>
        <w:jc w:val="both"/>
        <w:rPr>
          <w:rFonts w:ascii="Arial" w:eastAsia="Arial" w:hAnsi="Arial" w:cs="Arial"/>
          <w:b/>
          <w:color w:val="000000"/>
        </w:rPr>
      </w:pPr>
      <w:bookmarkStart w:id="4" w:name="_heading=h.pp26c67bhqp0" w:colFirst="0" w:colLast="0"/>
      <w:bookmarkEnd w:id="4"/>
      <w:r>
        <w:rPr>
          <w:rFonts w:ascii="Arial" w:eastAsia="Arial" w:hAnsi="Arial" w:cs="Arial"/>
          <w:b/>
          <w:color w:val="000000"/>
        </w:rPr>
        <w:t>Analisi della liquidità</w:t>
      </w:r>
      <w:r>
        <w:rPr>
          <w:rFonts w:ascii="Arial" w:eastAsia="Arial" w:hAnsi="Arial" w:cs="Arial"/>
          <w:b/>
        </w:rPr>
        <w:t xml:space="preserve"> </w:t>
      </w:r>
    </w:p>
    <w:tbl>
      <w:tblPr>
        <w:tblStyle w:val="aff4"/>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67B1E">
        <w:tc>
          <w:tcPr>
            <w:tcW w:w="9638" w:type="dxa"/>
            <w:shd w:val="clear" w:color="auto" w:fill="auto"/>
            <w:tcMar>
              <w:top w:w="100" w:type="dxa"/>
              <w:left w:w="100" w:type="dxa"/>
              <w:bottom w:w="100" w:type="dxa"/>
              <w:right w:w="100" w:type="dxa"/>
            </w:tcMar>
          </w:tcPr>
          <w:p w:rsidR="00867B1E" w:rsidRDefault="003C7FBB">
            <w:pPr>
              <w:widowControl w:val="0"/>
              <w:pBdr>
                <w:top w:val="nil"/>
                <w:left w:val="nil"/>
                <w:bottom w:val="nil"/>
                <w:right w:val="nil"/>
                <w:between w:val="nil"/>
              </w:pBdr>
              <w:spacing w:after="0" w:line="240" w:lineRule="auto"/>
              <w:jc w:val="both"/>
              <w:rPr>
                <w:rFonts w:ascii="Arial" w:eastAsia="Arial" w:hAnsi="Arial" w:cs="Arial"/>
                <w:i/>
              </w:rPr>
            </w:pPr>
            <w:bookmarkStart w:id="5" w:name="_heading=h.gjdgxs" w:colFirst="0" w:colLast="0"/>
            <w:bookmarkEnd w:id="5"/>
            <w:r>
              <w:rPr>
                <w:rFonts w:ascii="Arial" w:eastAsia="Arial" w:hAnsi="Arial" w:cs="Arial"/>
                <w:i/>
              </w:rPr>
              <w:t>Valutazione della capacità del Comitato di far fronte agli impegni finanziari mediante l’utilizzo del parametro X, calcolato sulla base dell'indice ALFA e dell’indice di liquidità come segue:</w:t>
            </w:r>
            <w:r>
              <w:rPr>
                <w:rFonts w:ascii="Arial" w:eastAsia="Arial" w:hAnsi="Arial" w:cs="Arial"/>
                <w:i/>
              </w:rPr>
              <w:br/>
            </w:r>
          </w:p>
          <w:p w:rsidR="00867B1E" w:rsidRDefault="003C7FBB">
            <w:pPr>
              <w:widowControl w:val="0"/>
              <w:pBdr>
                <w:top w:val="nil"/>
                <w:left w:val="nil"/>
                <w:bottom w:val="nil"/>
                <w:right w:val="nil"/>
                <w:between w:val="nil"/>
              </w:pBdr>
              <w:spacing w:after="0" w:line="240" w:lineRule="auto"/>
              <w:jc w:val="both"/>
              <w:rPr>
                <w:rFonts w:ascii="Arial" w:eastAsia="Arial" w:hAnsi="Arial" w:cs="Arial"/>
                <w:i/>
              </w:rPr>
            </w:pPr>
            <w:r>
              <w:rPr>
                <w:rFonts w:ascii="Arial" w:eastAsia="Arial" w:hAnsi="Arial" w:cs="Arial"/>
                <w:i/>
              </w:rPr>
              <w:t>X = ALFA * (1 - I.L.)</w:t>
            </w:r>
          </w:p>
          <w:p w:rsidR="00867B1E" w:rsidRDefault="003C7FBB">
            <w:pPr>
              <w:widowControl w:val="0"/>
              <w:pBdr>
                <w:top w:val="nil"/>
                <w:left w:val="nil"/>
                <w:bottom w:val="nil"/>
                <w:right w:val="nil"/>
                <w:between w:val="nil"/>
              </w:pBdr>
              <w:spacing w:after="0" w:line="240" w:lineRule="auto"/>
              <w:jc w:val="both"/>
              <w:rPr>
                <w:rFonts w:ascii="Arial" w:eastAsia="Arial" w:hAnsi="Arial" w:cs="Arial"/>
                <w:i/>
              </w:rPr>
            </w:pPr>
            <w:r>
              <w:rPr>
                <w:rFonts w:ascii="Arial" w:eastAsia="Arial" w:hAnsi="Arial" w:cs="Arial"/>
                <w:i/>
              </w:rPr>
              <w:t>Dove:</w:t>
            </w:r>
          </w:p>
          <w:p w:rsidR="00867B1E" w:rsidRDefault="003C7FBB">
            <w:pPr>
              <w:widowControl w:val="0"/>
              <w:pBdr>
                <w:top w:val="nil"/>
                <w:left w:val="nil"/>
                <w:bottom w:val="nil"/>
                <w:right w:val="nil"/>
                <w:between w:val="nil"/>
              </w:pBdr>
              <w:spacing w:after="0" w:line="240" w:lineRule="auto"/>
              <w:jc w:val="both"/>
              <w:rPr>
                <w:rFonts w:ascii="Arial" w:eastAsia="Arial" w:hAnsi="Arial" w:cs="Arial"/>
                <w:i/>
              </w:rPr>
            </w:pPr>
            <w:r>
              <w:rPr>
                <w:rFonts w:ascii="Arial" w:eastAsia="Arial" w:hAnsi="Arial" w:cs="Arial"/>
                <w:i/>
              </w:rPr>
              <w:t xml:space="preserve">- ALFA è </w:t>
            </w:r>
            <w:r>
              <w:rPr>
                <w:rFonts w:ascii="Arial" w:eastAsia="Arial" w:hAnsi="Arial" w:cs="Arial"/>
                <w:b/>
                <w:i/>
              </w:rPr>
              <w:t>l'indice ALFA</w:t>
            </w:r>
            <w:r>
              <w:rPr>
                <w:rFonts w:ascii="Arial" w:eastAsia="Arial" w:hAnsi="Arial" w:cs="Arial"/>
                <w:i/>
              </w:rPr>
              <w:t>, dato dal rapporto tra finanziamento richiesto e valore della produzione moltiplicato per 100;</w:t>
            </w:r>
          </w:p>
          <w:p w:rsidR="00867B1E" w:rsidRDefault="003C7FBB">
            <w:pPr>
              <w:widowControl w:val="0"/>
              <w:pBdr>
                <w:top w:val="nil"/>
                <w:left w:val="nil"/>
                <w:bottom w:val="nil"/>
                <w:right w:val="nil"/>
                <w:between w:val="nil"/>
              </w:pBdr>
              <w:spacing w:after="0" w:line="240" w:lineRule="auto"/>
              <w:jc w:val="both"/>
              <w:rPr>
                <w:rFonts w:ascii="Arial" w:eastAsia="Arial" w:hAnsi="Arial" w:cs="Arial"/>
                <w:i/>
              </w:rPr>
            </w:pPr>
            <w:r>
              <w:rPr>
                <w:rFonts w:ascii="Arial" w:eastAsia="Arial" w:hAnsi="Arial" w:cs="Arial"/>
                <w:b/>
                <w:i/>
              </w:rPr>
              <w:t xml:space="preserve">- </w:t>
            </w:r>
            <w:r>
              <w:rPr>
                <w:rFonts w:ascii="Arial" w:eastAsia="Arial" w:hAnsi="Arial" w:cs="Arial"/>
                <w:i/>
              </w:rPr>
              <w:t>I.L. è</w:t>
            </w:r>
            <w:r>
              <w:rPr>
                <w:rFonts w:ascii="Arial" w:eastAsia="Arial" w:hAnsi="Arial" w:cs="Arial"/>
                <w:b/>
                <w:i/>
              </w:rPr>
              <w:t xml:space="preserve"> l'indice di liquidità</w:t>
            </w:r>
            <w:r>
              <w:rPr>
                <w:rFonts w:ascii="Arial" w:eastAsia="Arial" w:hAnsi="Arial" w:cs="Arial"/>
                <w:i/>
              </w:rPr>
              <w:t>, pari al rapporto tra la somma della liquidità immediata e differita (liquidità corrente e crediti finanziari e commerciali a breve) e le passività correnti (debiti finanziari e commerciali a breve).</w:t>
            </w:r>
          </w:p>
          <w:p w:rsidR="00867B1E" w:rsidRDefault="00867B1E">
            <w:pPr>
              <w:widowControl w:val="0"/>
              <w:pBdr>
                <w:top w:val="nil"/>
                <w:left w:val="nil"/>
                <w:bottom w:val="nil"/>
                <w:right w:val="nil"/>
                <w:between w:val="nil"/>
              </w:pBdr>
              <w:spacing w:after="0" w:line="240" w:lineRule="auto"/>
              <w:jc w:val="both"/>
              <w:rPr>
                <w:rFonts w:ascii="Arial" w:eastAsia="Arial" w:hAnsi="Arial" w:cs="Arial"/>
                <w:i/>
              </w:rPr>
            </w:pPr>
          </w:p>
          <w:p w:rsidR="00867B1E" w:rsidRDefault="003C7FBB">
            <w:pPr>
              <w:widowControl w:val="0"/>
              <w:pBdr>
                <w:top w:val="nil"/>
                <w:left w:val="nil"/>
                <w:bottom w:val="nil"/>
                <w:right w:val="nil"/>
                <w:between w:val="nil"/>
              </w:pBdr>
              <w:spacing w:after="0" w:line="240" w:lineRule="auto"/>
              <w:jc w:val="both"/>
              <w:rPr>
                <w:rFonts w:ascii="Arial" w:eastAsia="Arial" w:hAnsi="Arial" w:cs="Arial"/>
                <w:i/>
              </w:rPr>
            </w:pPr>
            <w:r>
              <w:rPr>
                <w:rFonts w:ascii="Arial" w:eastAsia="Arial" w:hAnsi="Arial" w:cs="Arial"/>
                <w:i/>
              </w:rPr>
              <w:t>Entrambi gli indici sono calcolati sulla base dell'ultimo bilancio di esercizio approvato.</w:t>
            </w:r>
          </w:p>
        </w:tc>
      </w:tr>
      <w:tr w:rsidR="00867B1E">
        <w:tc>
          <w:tcPr>
            <w:tcW w:w="9638" w:type="dxa"/>
            <w:shd w:val="clear" w:color="auto" w:fill="auto"/>
            <w:tcMar>
              <w:top w:w="100" w:type="dxa"/>
              <w:left w:w="100" w:type="dxa"/>
              <w:bottom w:w="100" w:type="dxa"/>
              <w:right w:w="100" w:type="dxa"/>
            </w:tcMar>
          </w:tcPr>
          <w:p w:rsidR="00867B1E" w:rsidRDefault="00867B1E">
            <w:pPr>
              <w:widowControl w:val="0"/>
              <w:pBdr>
                <w:top w:val="nil"/>
                <w:left w:val="nil"/>
                <w:bottom w:val="nil"/>
                <w:right w:val="nil"/>
                <w:between w:val="nil"/>
              </w:pBdr>
              <w:spacing w:after="0" w:line="240" w:lineRule="auto"/>
              <w:rPr>
                <w:rFonts w:ascii="Arial" w:eastAsia="Arial" w:hAnsi="Arial" w:cs="Arial"/>
              </w:rPr>
            </w:pPr>
          </w:p>
        </w:tc>
      </w:tr>
    </w:tbl>
    <w:p w:rsidR="00867B1E" w:rsidRDefault="00867B1E">
      <w:pPr>
        <w:tabs>
          <w:tab w:val="left" w:pos="372"/>
          <w:tab w:val="center" w:pos="7285"/>
        </w:tabs>
        <w:spacing w:after="0" w:line="240" w:lineRule="auto"/>
        <w:rPr>
          <w:rFonts w:ascii="Arial" w:eastAsia="Arial" w:hAnsi="Arial" w:cs="Arial"/>
        </w:rPr>
      </w:pPr>
    </w:p>
    <w:p w:rsidR="00867B1E" w:rsidRDefault="00867B1E">
      <w:pPr>
        <w:tabs>
          <w:tab w:val="left" w:pos="384"/>
          <w:tab w:val="center" w:pos="7285"/>
        </w:tabs>
        <w:rPr>
          <w:rFonts w:ascii="Arial" w:eastAsia="Arial" w:hAnsi="Arial" w:cs="Arial"/>
        </w:rPr>
      </w:pPr>
    </w:p>
    <w:p w:rsidR="00867B1E" w:rsidRDefault="003C7FBB">
      <w:pPr>
        <w:tabs>
          <w:tab w:val="left" w:pos="384"/>
          <w:tab w:val="center" w:pos="7285"/>
        </w:tabs>
        <w:rPr>
          <w:rFonts w:ascii="Arial" w:eastAsia="Arial" w:hAnsi="Arial" w:cs="Arial"/>
        </w:rPr>
      </w:pPr>
      <w:r>
        <w:rPr>
          <w:rFonts w:ascii="Arial" w:eastAsia="Arial" w:hAnsi="Arial" w:cs="Arial"/>
        </w:rPr>
        <w:t>Data __________________</w:t>
      </w:r>
    </w:p>
    <w:p w:rsidR="00867B1E" w:rsidRDefault="00867B1E">
      <w:pPr>
        <w:tabs>
          <w:tab w:val="left" w:pos="384"/>
          <w:tab w:val="center" w:pos="7285"/>
        </w:tabs>
        <w:rPr>
          <w:rFonts w:ascii="Arial" w:eastAsia="Arial" w:hAnsi="Arial" w:cs="Arial"/>
        </w:rPr>
      </w:pPr>
    </w:p>
    <w:p w:rsidR="00867B1E" w:rsidRDefault="003C7FBB">
      <w:pPr>
        <w:tabs>
          <w:tab w:val="left" w:pos="384"/>
          <w:tab w:val="center" w:pos="7285"/>
        </w:tabs>
        <w:ind w:left="5040"/>
        <w:jc w:val="center"/>
        <w:rPr>
          <w:rFonts w:ascii="Arial" w:eastAsia="Arial" w:hAnsi="Arial" w:cs="Arial"/>
        </w:rPr>
      </w:pPr>
      <w:r>
        <w:rPr>
          <w:rFonts w:ascii="Arial" w:eastAsia="Arial" w:hAnsi="Arial" w:cs="Arial"/>
        </w:rPr>
        <w:t>Firma del Rappresentante legale</w:t>
      </w:r>
    </w:p>
    <w:p w:rsidR="00867B1E" w:rsidRDefault="003C7FBB">
      <w:pPr>
        <w:tabs>
          <w:tab w:val="left" w:pos="384"/>
          <w:tab w:val="center" w:pos="7285"/>
        </w:tabs>
        <w:ind w:left="5040"/>
        <w:jc w:val="center"/>
        <w:rPr>
          <w:rFonts w:ascii="Arial" w:eastAsia="Arial" w:hAnsi="Arial" w:cs="Arial"/>
        </w:rPr>
      </w:pPr>
      <w:r>
        <w:rPr>
          <w:rFonts w:ascii="Arial" w:eastAsia="Arial" w:hAnsi="Arial" w:cs="Arial"/>
        </w:rPr>
        <w:t>Timbro del Comitato</w:t>
      </w:r>
    </w:p>
    <w:sectPr w:rsidR="00867B1E">
      <w:headerReference w:type="default" r:id="rId8"/>
      <w:footerReference w:type="default" r:id="rId9"/>
      <w:pgSz w:w="11906" w:h="16838"/>
      <w:pgMar w:top="1588" w:right="1134" w:bottom="1134" w:left="1134" w:header="851" w:footer="14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D45" w:rsidRDefault="00523D45">
      <w:pPr>
        <w:spacing w:after="0" w:line="240" w:lineRule="auto"/>
      </w:pPr>
      <w:r>
        <w:separator/>
      </w:r>
    </w:p>
  </w:endnote>
  <w:endnote w:type="continuationSeparator" w:id="0">
    <w:p w:rsidR="00523D45" w:rsidRDefault="0052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B1E" w:rsidRDefault="003C7FBB">
    <w:pPr>
      <w:pBdr>
        <w:top w:val="nil"/>
        <w:left w:val="nil"/>
        <w:bottom w:val="nil"/>
        <w:right w:val="nil"/>
        <w:between w:val="nil"/>
      </w:pBdr>
      <w:tabs>
        <w:tab w:val="center" w:pos="4819"/>
        <w:tab w:val="right" w:pos="9638"/>
      </w:tabs>
      <w:spacing w:after="0" w:line="240" w:lineRule="auto"/>
      <w:rPr>
        <w:rFonts w:ascii="Arial" w:eastAsia="Arial" w:hAnsi="Arial" w:cs="Arial"/>
        <w:color w:val="CC0000"/>
        <w:sz w:val="16"/>
        <w:szCs w:val="16"/>
      </w:rPr>
    </w:pPr>
    <w:r>
      <w:rPr>
        <w:rFonts w:ascii="Arial" w:eastAsia="Arial" w:hAnsi="Arial" w:cs="Arial"/>
        <w:color w:val="CC0000"/>
        <w:sz w:val="16"/>
        <w:szCs w:val="16"/>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469900</wp:posOffset>
              </wp:positionH>
              <wp:positionV relativeFrom="paragraph">
                <wp:posOffset>2006600</wp:posOffset>
              </wp:positionV>
              <wp:extent cx="844550" cy="450850"/>
              <wp:effectExtent l="0" t="0" r="0" b="0"/>
              <wp:wrapNone/>
              <wp:docPr id="115" name="Rettangolo 115" descr="www.cri.it&#10;Salvare vite, cambiare mentalità&#10;"/>
              <wp:cNvGraphicFramePr/>
              <a:graphic xmlns:a="http://schemas.openxmlformats.org/drawingml/2006/main">
                <a:graphicData uri="http://schemas.microsoft.com/office/word/2010/wordprocessingShape">
                  <wps:wsp>
                    <wps:cNvSpPr/>
                    <wps:spPr>
                      <a:xfrm>
                        <a:off x="4952300" y="3583150"/>
                        <a:ext cx="787400" cy="393700"/>
                      </a:xfrm>
                      <a:prstGeom prst="rect">
                        <a:avLst/>
                      </a:prstGeom>
                      <a:noFill/>
                      <a:ln>
                        <a:noFill/>
                      </a:ln>
                    </wps:spPr>
                    <wps:txbx>
                      <w:txbxContent>
                        <w:p w:rsidR="00867B1E" w:rsidRDefault="003C7FBB">
                          <w:pPr>
                            <w:spacing w:after="0" w:line="275" w:lineRule="auto"/>
                            <w:textDirection w:val="btLr"/>
                          </w:pPr>
                          <w:r>
                            <w:rPr>
                              <w:rFonts w:ascii="Arial" w:eastAsia="Arial" w:hAnsi="Arial" w:cs="Arial"/>
                              <w:color w:val="C00000"/>
                              <w:sz w:val="18"/>
                            </w:rPr>
                            <w:t>www.cri.it</w:t>
                          </w:r>
                        </w:p>
                        <w:p w:rsidR="00867B1E" w:rsidRDefault="003C7FBB">
                          <w:pPr>
                            <w:spacing w:after="0" w:line="275" w:lineRule="auto"/>
                            <w:textDirection w:val="btLr"/>
                          </w:pPr>
                          <w:r>
                            <w:rPr>
                              <w:rFonts w:ascii="Arial" w:eastAsia="Arial" w:hAnsi="Arial" w:cs="Arial"/>
                              <w:color w:val="C00000"/>
                              <w:sz w:val="18"/>
                            </w:rPr>
                            <w:t>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wp:posOffset>
              </wp:positionH>
              <wp:positionV relativeFrom="paragraph">
                <wp:posOffset>2006600</wp:posOffset>
              </wp:positionV>
              <wp:extent cx="844550" cy="450850"/>
              <wp:effectExtent b="0" l="0" r="0" t="0"/>
              <wp:wrapNone/>
              <wp:docPr descr="www.cri.it&#10;Salvare vite, cambiare mentalità&#10;" id="115" name="image4.png"/>
              <a:graphic>
                <a:graphicData uri="http://schemas.openxmlformats.org/drawingml/2006/picture">
                  <pic:pic>
                    <pic:nvPicPr>
                      <pic:cNvPr descr="www.cri.it&#10;Salvare vite, cambiare mentalità&#10;" id="0" name="image4.png"/>
                      <pic:cNvPicPr preferRelativeResize="0"/>
                    </pic:nvPicPr>
                    <pic:blipFill>
                      <a:blip r:embed="rId1"/>
                      <a:srcRect/>
                      <a:stretch>
                        <a:fillRect/>
                      </a:stretch>
                    </pic:blipFill>
                    <pic:spPr>
                      <a:xfrm>
                        <a:off x="0" y="0"/>
                        <a:ext cx="844550" cy="4508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469900</wp:posOffset>
              </wp:positionH>
              <wp:positionV relativeFrom="paragraph">
                <wp:posOffset>2006600</wp:posOffset>
              </wp:positionV>
              <wp:extent cx="844550" cy="450850"/>
              <wp:effectExtent l="0" t="0" r="0" b="0"/>
              <wp:wrapNone/>
              <wp:docPr id="113" name="Rettangolo 113" descr="www.cri.it&#10;Salvare vite, cambiare mentalità&#10;"/>
              <wp:cNvGraphicFramePr/>
              <a:graphic xmlns:a="http://schemas.openxmlformats.org/drawingml/2006/main">
                <a:graphicData uri="http://schemas.microsoft.com/office/word/2010/wordprocessingShape">
                  <wps:wsp>
                    <wps:cNvSpPr/>
                    <wps:spPr>
                      <a:xfrm>
                        <a:off x="4952300" y="3583150"/>
                        <a:ext cx="787400" cy="393700"/>
                      </a:xfrm>
                      <a:prstGeom prst="rect">
                        <a:avLst/>
                      </a:prstGeom>
                      <a:noFill/>
                      <a:ln>
                        <a:noFill/>
                      </a:ln>
                    </wps:spPr>
                    <wps:txbx>
                      <w:txbxContent>
                        <w:p w:rsidR="00867B1E" w:rsidRDefault="003C7FBB">
                          <w:pPr>
                            <w:spacing w:after="0" w:line="275" w:lineRule="auto"/>
                            <w:textDirection w:val="btLr"/>
                          </w:pPr>
                          <w:r>
                            <w:rPr>
                              <w:rFonts w:ascii="Arial" w:eastAsia="Arial" w:hAnsi="Arial" w:cs="Arial"/>
                              <w:color w:val="C00000"/>
                              <w:sz w:val="18"/>
                            </w:rPr>
                            <w:t>www.cri.it</w:t>
                          </w:r>
                        </w:p>
                        <w:p w:rsidR="00867B1E" w:rsidRDefault="003C7FBB">
                          <w:pPr>
                            <w:spacing w:after="0" w:line="275" w:lineRule="auto"/>
                            <w:textDirection w:val="btLr"/>
                          </w:pPr>
                          <w:r>
                            <w:rPr>
                              <w:rFonts w:ascii="Arial" w:eastAsia="Arial" w:hAnsi="Arial" w:cs="Arial"/>
                              <w:color w:val="C00000"/>
                              <w:sz w:val="18"/>
                            </w:rPr>
                            <w:t>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wp:posOffset>
              </wp:positionH>
              <wp:positionV relativeFrom="paragraph">
                <wp:posOffset>2006600</wp:posOffset>
              </wp:positionV>
              <wp:extent cx="844550" cy="450850"/>
              <wp:effectExtent b="0" l="0" r="0" t="0"/>
              <wp:wrapNone/>
              <wp:docPr descr="www.cri.it&#10;Salvare vite, cambiare mentalità&#10;" id="113" name="image2.png"/>
              <a:graphic>
                <a:graphicData uri="http://schemas.openxmlformats.org/drawingml/2006/picture">
                  <pic:pic>
                    <pic:nvPicPr>
                      <pic:cNvPr descr="www.cri.it&#10;Salvare vite, cambiare mentalità&#10;" id="0" name="image2.png"/>
                      <pic:cNvPicPr preferRelativeResize="0"/>
                    </pic:nvPicPr>
                    <pic:blipFill>
                      <a:blip r:embed="rId2"/>
                      <a:srcRect/>
                      <a:stretch>
                        <a:fillRect/>
                      </a:stretch>
                    </pic:blipFill>
                    <pic:spPr>
                      <a:xfrm>
                        <a:off x="0" y="0"/>
                        <a:ext cx="844550" cy="4508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6096000</wp:posOffset>
              </wp:positionH>
              <wp:positionV relativeFrom="paragraph">
                <wp:posOffset>0</wp:posOffset>
              </wp:positionV>
              <wp:extent cx="3685540" cy="1997710"/>
              <wp:effectExtent l="0" t="0" r="0" b="0"/>
              <wp:wrapNone/>
              <wp:docPr id="112" name="Rettangolo 112"/>
              <wp:cNvGraphicFramePr/>
              <a:graphic xmlns:a="http://schemas.openxmlformats.org/drawingml/2006/main">
                <a:graphicData uri="http://schemas.microsoft.com/office/word/2010/wordprocessingShape">
                  <wps:wsp>
                    <wps:cNvSpPr/>
                    <wps:spPr>
                      <a:xfrm>
                        <a:off x="3531805" y="2809720"/>
                        <a:ext cx="3628390" cy="194056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867B1E" w:rsidRDefault="003C7FBB">
                          <w:pPr>
                            <w:spacing w:after="0" w:line="275" w:lineRule="auto"/>
                            <w:ind w:firstLine="708"/>
                            <w:jc w:val="right"/>
                            <w:textDirection w:val="btLr"/>
                          </w:pPr>
                          <w:r>
                            <w:rPr>
                              <w:rFonts w:ascii="Arial" w:eastAsia="Arial" w:hAnsi="Arial" w:cs="Arial"/>
                              <w:color w:val="000000"/>
                              <w:sz w:val="18"/>
                            </w:rPr>
                            <w:t xml:space="preserve"> </w:t>
                          </w:r>
                        </w:p>
                        <w:p w:rsidR="00867B1E" w:rsidRDefault="00867B1E">
                          <w:pPr>
                            <w:spacing w:after="0" w:line="275" w:lineRule="auto"/>
                            <w:ind w:firstLine="708"/>
                            <w:jc w:val="right"/>
                            <w:textDirection w:val="btLr"/>
                          </w:pPr>
                        </w:p>
                        <w:p w:rsidR="00867B1E" w:rsidRDefault="003C7FBB">
                          <w:pPr>
                            <w:spacing w:after="0" w:line="275" w:lineRule="auto"/>
                            <w:jc w:val="right"/>
                            <w:textDirection w:val="btLr"/>
                          </w:pPr>
                          <w:r>
                            <w:rPr>
                              <w:rFonts w:ascii="Arial" w:eastAsia="Arial" w:hAnsi="Arial" w:cs="Arial"/>
                              <w:color w:val="000000"/>
                              <w:sz w:val="18"/>
                            </w:rPr>
                            <w:t> </w:t>
                          </w:r>
                        </w:p>
                        <w:p w:rsidR="00867B1E" w:rsidRDefault="003C7FBB">
                          <w:pPr>
                            <w:spacing w:line="275" w:lineRule="auto"/>
                            <w:textDirection w:val="btLr"/>
                          </w:pPr>
                          <w:r>
                            <w:rPr>
                              <w:color w:val="000000"/>
                            </w:rPr>
                            <w:t> </w:t>
                          </w:r>
                        </w:p>
                        <w:p w:rsidR="00867B1E" w:rsidRDefault="00867B1E">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6096000</wp:posOffset>
              </wp:positionH>
              <wp:positionV relativeFrom="paragraph">
                <wp:posOffset>0</wp:posOffset>
              </wp:positionV>
              <wp:extent cx="3685540" cy="1997710"/>
              <wp:effectExtent b="0" l="0" r="0" t="0"/>
              <wp:wrapNone/>
              <wp:docPr id="11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3685540" cy="199771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88901</wp:posOffset>
              </wp:positionH>
              <wp:positionV relativeFrom="paragraph">
                <wp:posOffset>-63499</wp:posOffset>
              </wp:positionV>
              <wp:extent cx="795655" cy="383350"/>
              <wp:effectExtent l="0" t="0" r="0" b="0"/>
              <wp:wrapNone/>
              <wp:docPr id="114" name="Rettangolo 114"/>
              <wp:cNvGraphicFramePr/>
              <a:graphic xmlns:a="http://schemas.openxmlformats.org/drawingml/2006/main">
                <a:graphicData uri="http://schemas.microsoft.com/office/word/2010/wordprocessingShape">
                  <wps:wsp>
                    <wps:cNvSpPr/>
                    <wps:spPr>
                      <a:xfrm>
                        <a:off x="4976748" y="3622203"/>
                        <a:ext cx="738505" cy="315595"/>
                      </a:xfrm>
                      <a:prstGeom prst="rect">
                        <a:avLst/>
                      </a:prstGeom>
                      <a:noFill/>
                      <a:ln>
                        <a:noFill/>
                      </a:ln>
                    </wps:spPr>
                    <wps:txbx>
                      <w:txbxContent>
                        <w:p w:rsidR="00867B1E" w:rsidRDefault="00867B1E">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-63499</wp:posOffset>
              </wp:positionV>
              <wp:extent cx="795655" cy="383350"/>
              <wp:effectExtent b="0" l="0" r="0" t="0"/>
              <wp:wrapNone/>
              <wp:docPr id="114"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795655" cy="3833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D45" w:rsidRDefault="00523D45">
      <w:pPr>
        <w:spacing w:after="0" w:line="240" w:lineRule="auto"/>
      </w:pPr>
      <w:r>
        <w:separator/>
      </w:r>
    </w:p>
  </w:footnote>
  <w:footnote w:type="continuationSeparator" w:id="0">
    <w:p w:rsidR="00523D45" w:rsidRDefault="00523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B1E" w:rsidRDefault="003C7FBB">
    <w:pPr>
      <w:spacing w:after="120"/>
      <w:jc w:val="center"/>
      <w:rPr>
        <w:b/>
        <w:i/>
        <w:u w:val="single"/>
      </w:rPr>
    </w:pPr>
    <w:r>
      <w:rPr>
        <w:b/>
        <w:i/>
        <w:u w:val="single"/>
      </w:rPr>
      <w:t>INSERIRE CARTA INTESTATA DEL COMITATO TERRITORIALE CHE PROPONE L’ISTANZA</w:t>
    </w:r>
  </w:p>
  <w:p w:rsidR="00867B1E" w:rsidRDefault="003C7FBB">
    <w:pPr>
      <w:pBdr>
        <w:top w:val="nil"/>
        <w:left w:val="nil"/>
        <w:bottom w:val="nil"/>
        <w:right w:val="nil"/>
        <w:between w:val="nil"/>
      </w:pBdr>
      <w:tabs>
        <w:tab w:val="center" w:pos="4819"/>
        <w:tab w:val="right" w:pos="9638"/>
      </w:tabs>
      <w:spacing w:after="0" w:line="240" w:lineRule="auto"/>
      <w:jc w:val="right"/>
      <w:rPr>
        <w:rFonts w:ascii="Arial" w:eastAsia="Arial" w:hAnsi="Arial" w:cs="Arial"/>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5130800</wp:posOffset>
              </wp:positionH>
              <wp:positionV relativeFrom="paragraph">
                <wp:posOffset>-101599</wp:posOffset>
              </wp:positionV>
              <wp:extent cx="3275330" cy="699135"/>
              <wp:effectExtent l="0" t="0" r="0" b="0"/>
              <wp:wrapNone/>
              <wp:docPr id="116" name="Rettangolo 116"/>
              <wp:cNvGraphicFramePr/>
              <a:graphic xmlns:a="http://schemas.openxmlformats.org/drawingml/2006/main">
                <a:graphicData uri="http://schemas.microsoft.com/office/word/2010/wordprocessingShape">
                  <wps:wsp>
                    <wps:cNvSpPr/>
                    <wps:spPr>
                      <a:xfrm>
                        <a:off x="3736910" y="3459008"/>
                        <a:ext cx="3218180" cy="641985"/>
                      </a:xfrm>
                      <a:prstGeom prst="rect">
                        <a:avLst/>
                      </a:prstGeom>
                      <a:noFill/>
                      <a:ln>
                        <a:noFill/>
                      </a:ln>
                    </wps:spPr>
                    <wps:txbx>
                      <w:txbxContent>
                        <w:p w:rsidR="00867B1E" w:rsidRDefault="00867B1E">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5130800</wp:posOffset>
              </wp:positionH>
              <wp:positionV relativeFrom="paragraph">
                <wp:posOffset>-101599</wp:posOffset>
              </wp:positionV>
              <wp:extent cx="3275330" cy="699135"/>
              <wp:effectExtent b="0" l="0" r="0" t="0"/>
              <wp:wrapNone/>
              <wp:docPr id="11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275330" cy="69913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20DE"/>
    <w:multiLevelType w:val="multilevel"/>
    <w:tmpl w:val="4322C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1E"/>
    <w:rsid w:val="00285E08"/>
    <w:rsid w:val="003C7FBB"/>
    <w:rsid w:val="00523D45"/>
    <w:rsid w:val="006051D5"/>
    <w:rsid w:val="00691E16"/>
    <w:rsid w:val="0069760D"/>
    <w:rsid w:val="007635D6"/>
    <w:rsid w:val="00867B1E"/>
    <w:rsid w:val="00C53A64"/>
    <w:rsid w:val="00E353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6ABB"/>
  <w15:docId w15:val="{56779952-4163-401E-A4DE-51282A5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C0F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8D"/>
  </w:style>
  <w:style w:type="paragraph" w:styleId="Pidipagina">
    <w:name w:val="footer"/>
    <w:basedOn w:val="Normale"/>
    <w:link w:val="PidipaginaCarattere"/>
    <w:uiPriority w:val="99"/>
    <w:unhideWhenUsed/>
    <w:rsid w:val="004C0F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8D"/>
  </w:style>
  <w:style w:type="paragraph" w:styleId="Testofumetto">
    <w:name w:val="Balloon Text"/>
    <w:basedOn w:val="Normale"/>
    <w:link w:val="TestofumettoCarattere"/>
    <w:uiPriority w:val="99"/>
    <w:semiHidden/>
    <w:unhideWhenUsed/>
    <w:rsid w:val="004C0F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0F8D"/>
    <w:rPr>
      <w:rFonts w:ascii="Tahoma" w:hAnsi="Tahoma" w:cs="Tahoma"/>
      <w:sz w:val="16"/>
      <w:szCs w:val="16"/>
    </w:rPr>
  </w:style>
  <w:style w:type="character" w:styleId="Collegamentoipertestuale">
    <w:name w:val="Hyperlink"/>
    <w:basedOn w:val="Carpredefinitoparagrafo"/>
    <w:uiPriority w:val="99"/>
    <w:unhideWhenUsed/>
    <w:rsid w:val="00A03A17"/>
    <w:rPr>
      <w:color w:val="0000FF" w:themeColor="hyperlink"/>
      <w:u w:val="single"/>
    </w:rPr>
  </w:style>
  <w:style w:type="character" w:customStyle="1" w:styleId="apple-converted-space">
    <w:name w:val="apple-converted-space"/>
    <w:basedOn w:val="Carpredefinitoparagrafo"/>
    <w:rsid w:val="00952A42"/>
  </w:style>
  <w:style w:type="paragraph" w:styleId="Paragrafoelenco">
    <w:name w:val="List Paragraph"/>
    <w:basedOn w:val="Normale"/>
    <w:uiPriority w:val="34"/>
    <w:qFormat/>
    <w:rsid w:val="00952A42"/>
    <w:pPr>
      <w:ind w:left="720"/>
      <w:contextualSpacing/>
    </w:pPr>
  </w:style>
  <w:style w:type="paragraph" w:styleId="NormaleWeb">
    <w:name w:val="Normal (Web)"/>
    <w:basedOn w:val="Normale"/>
    <w:uiPriority w:val="99"/>
    <w:unhideWhenUsed/>
    <w:rsid w:val="0035575F"/>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59"/>
    <w:rsid w:val="00033B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D42B2"/>
    <w:rPr>
      <w:sz w:val="16"/>
      <w:szCs w:val="16"/>
    </w:rPr>
  </w:style>
  <w:style w:type="paragraph" w:styleId="Testocommento">
    <w:name w:val="annotation text"/>
    <w:basedOn w:val="Normale"/>
    <w:link w:val="TestocommentoCarattere"/>
    <w:uiPriority w:val="99"/>
    <w:semiHidden/>
    <w:unhideWhenUsed/>
    <w:rsid w:val="003D42B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D42B2"/>
    <w:rPr>
      <w:sz w:val="20"/>
      <w:szCs w:val="20"/>
    </w:rPr>
  </w:style>
  <w:style w:type="paragraph" w:styleId="Soggettocommento">
    <w:name w:val="annotation subject"/>
    <w:basedOn w:val="Testocommento"/>
    <w:next w:val="Testocommento"/>
    <w:link w:val="SoggettocommentoCarattere"/>
    <w:uiPriority w:val="99"/>
    <w:semiHidden/>
    <w:unhideWhenUsed/>
    <w:rsid w:val="003D42B2"/>
    <w:rPr>
      <w:b/>
      <w:bCs/>
    </w:rPr>
  </w:style>
  <w:style w:type="character" w:customStyle="1" w:styleId="SoggettocommentoCarattere">
    <w:name w:val="Soggetto commento Carattere"/>
    <w:basedOn w:val="TestocommentoCarattere"/>
    <w:link w:val="Soggettocommento"/>
    <w:uiPriority w:val="99"/>
    <w:semiHidden/>
    <w:rsid w:val="003D42B2"/>
    <w:rPr>
      <w:b/>
      <w:bCs/>
      <w:sz w:val="20"/>
      <w:szCs w:val="20"/>
    </w:rPr>
  </w:style>
  <w:style w:type="paragraph" w:styleId="Testonotaapidipagina">
    <w:name w:val="footnote text"/>
    <w:basedOn w:val="Normale"/>
    <w:link w:val="TestonotaapidipaginaCarattere"/>
    <w:uiPriority w:val="99"/>
    <w:semiHidden/>
    <w:unhideWhenUsed/>
    <w:rsid w:val="00417C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17C1C"/>
    <w:rPr>
      <w:sz w:val="20"/>
      <w:szCs w:val="20"/>
    </w:rPr>
  </w:style>
  <w:style w:type="character" w:styleId="Rimandonotaapidipagina">
    <w:name w:val="footnote reference"/>
    <w:basedOn w:val="Carpredefinitoparagrafo"/>
    <w:uiPriority w:val="99"/>
    <w:semiHidden/>
    <w:unhideWhenUsed/>
    <w:rsid w:val="00417C1C"/>
    <w:rPr>
      <w:vertAlign w:val="superscrip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pPr>
      <w:spacing w:after="0" w:line="240" w:lineRule="auto"/>
    </w:pPr>
    <w:tblPr>
      <w:tblStyleRowBandSize w:val="1"/>
      <w:tblStyleColBandSize w:val="1"/>
      <w:tblCellMar>
        <w:left w:w="108" w:type="dxa"/>
        <w:right w:w="108" w:type="dxa"/>
      </w:tblCellMar>
    </w:tblPr>
  </w:style>
  <w:style w:type="character" w:customStyle="1" w:styleId="Menzionenonrisolta1">
    <w:name w:val="Menzione non risolta1"/>
    <w:basedOn w:val="Carpredefinitoparagrafo"/>
    <w:uiPriority w:val="99"/>
    <w:semiHidden/>
    <w:unhideWhenUsed/>
    <w:rsid w:val="00E03CD6"/>
    <w:rPr>
      <w:color w:val="605E5C"/>
      <w:shd w:val="clear" w:color="auto" w:fill="E1DFDD"/>
    </w:r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top w:w="100" w:type="dxa"/>
        <w:left w:w="100" w:type="dxa"/>
        <w:bottom w:w="100" w:type="dxa"/>
        <w:right w:w="100" w:type="dxa"/>
      </w:tblCellMar>
    </w:tblPr>
  </w:style>
  <w:style w:type="table" w:customStyle="1" w:styleId="a2">
    <w:basedOn w:val="TableNormal4"/>
    <w:pPr>
      <w:spacing w:after="0" w:line="240" w:lineRule="auto"/>
    </w:pPr>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af5">
    <w:basedOn w:val="TableNormal3"/>
    <w:tblPr>
      <w:tblStyleRowBandSize w:val="1"/>
      <w:tblStyleColBandSize w:val="1"/>
      <w:tblCellMar>
        <w:top w:w="100" w:type="dxa"/>
        <w:left w:w="100" w:type="dxa"/>
        <w:bottom w:w="100" w:type="dxa"/>
        <w:right w:w="100" w:type="dxa"/>
      </w:tblCellMar>
    </w:tblPr>
  </w:style>
  <w:style w:type="table" w:customStyle="1" w:styleId="af6">
    <w:basedOn w:val="TableNormal3"/>
    <w:tblPr>
      <w:tblStyleRowBandSize w:val="1"/>
      <w:tblStyleColBandSize w:val="1"/>
      <w:tblCellMar>
        <w:top w:w="100" w:type="dxa"/>
        <w:left w:w="100" w:type="dxa"/>
        <w:bottom w:w="100" w:type="dxa"/>
        <w:right w:w="100" w:type="dxa"/>
      </w:tblCellMar>
    </w:tblPr>
  </w:style>
  <w:style w:type="table" w:customStyle="1" w:styleId="af7">
    <w:basedOn w:val="TableNormal3"/>
    <w:tblPr>
      <w:tblStyleRowBandSize w:val="1"/>
      <w:tblStyleColBandSize w:val="1"/>
      <w:tblCellMar>
        <w:top w:w="100" w:type="dxa"/>
        <w:left w:w="100" w:type="dxa"/>
        <w:bottom w:w="100" w:type="dxa"/>
        <w:right w:w="100" w:type="dxa"/>
      </w:tblCellMar>
    </w:tblPr>
  </w:style>
  <w:style w:type="table" w:customStyle="1" w:styleId="af8">
    <w:basedOn w:val="TableNormal3"/>
    <w:tblPr>
      <w:tblStyleRowBandSize w:val="1"/>
      <w:tblStyleColBandSize w:val="1"/>
      <w:tblCellMar>
        <w:top w:w="100" w:type="dxa"/>
        <w:left w:w="100" w:type="dxa"/>
        <w:bottom w:w="100" w:type="dxa"/>
        <w:right w:w="100"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379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4.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7p0fEkPkXW1tecfGUJEQpYpgw==">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457</Words>
  <Characters>2608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Croce Rossa Italiana - Comitato Nazionale</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Nugnes</dc:creator>
  <cp:lastModifiedBy>Edoardo Mandato</cp:lastModifiedBy>
  <cp:revision>6</cp:revision>
  <dcterms:created xsi:type="dcterms:W3CDTF">2021-08-11T09:15:00Z</dcterms:created>
  <dcterms:modified xsi:type="dcterms:W3CDTF">2021-12-14T11:36:00Z</dcterms:modified>
</cp:coreProperties>
</file>